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9C75D" w14:textId="44AA3CFB" w:rsidR="00796F7C" w:rsidRPr="00F057AE" w:rsidRDefault="00796F7C" w:rsidP="00796F7C">
      <w:pPr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First quarter progress report FY22 – Kleinjan/Kovacs</w:t>
      </w:r>
    </w:p>
    <w:p w14:paraId="02F20318" w14:textId="77777777" w:rsidR="00796F7C" w:rsidRPr="00F057AE" w:rsidRDefault="00796F7C" w:rsidP="00796F7C">
      <w:pPr>
        <w:rPr>
          <w:rFonts w:ascii="Arial" w:hAnsi="Arial" w:cs="Arial"/>
          <w:sz w:val="20"/>
          <w:szCs w:val="20"/>
        </w:rPr>
      </w:pPr>
    </w:p>
    <w:p w14:paraId="196D6E10" w14:textId="2A069BC2" w:rsidR="00796F7C" w:rsidRPr="00F057AE" w:rsidRDefault="00796F7C" w:rsidP="00796F7C">
      <w:pPr>
        <w:ind w:left="1530" w:hanging="1530"/>
        <w:jc w:val="center"/>
        <w:rPr>
          <w:rFonts w:ascii="Arial" w:hAnsi="Arial" w:cs="Arial"/>
          <w:b/>
          <w:bCs/>
          <w:sz w:val="20"/>
          <w:szCs w:val="20"/>
        </w:rPr>
      </w:pPr>
      <w:r w:rsidRPr="00F057AE">
        <w:rPr>
          <w:rFonts w:ascii="Arial" w:hAnsi="Arial" w:cs="Arial"/>
          <w:b/>
          <w:bCs/>
          <w:sz w:val="20"/>
          <w:szCs w:val="20"/>
        </w:rPr>
        <w:t>Soybean Nitrogen fixation under Nitrogen and Sulfur fertilization</w:t>
      </w:r>
    </w:p>
    <w:p w14:paraId="16241417" w14:textId="77777777" w:rsidR="00796F7C" w:rsidRPr="00F057AE" w:rsidRDefault="00796F7C" w:rsidP="00796F7C">
      <w:pPr>
        <w:rPr>
          <w:rFonts w:ascii="Arial" w:hAnsi="Arial" w:cs="Arial"/>
          <w:sz w:val="20"/>
          <w:szCs w:val="20"/>
        </w:rPr>
      </w:pPr>
    </w:p>
    <w:p w14:paraId="01236A49" w14:textId="77777777" w:rsidR="00796F7C" w:rsidRPr="00F057AE" w:rsidRDefault="00796F7C" w:rsidP="00796F7C">
      <w:pPr>
        <w:rPr>
          <w:rFonts w:ascii="Arial" w:hAnsi="Arial" w:cs="Arial"/>
          <w:b/>
          <w:sz w:val="20"/>
          <w:szCs w:val="20"/>
        </w:rPr>
      </w:pPr>
      <w:r w:rsidRPr="00F057AE">
        <w:rPr>
          <w:rFonts w:ascii="Arial" w:hAnsi="Arial" w:cs="Arial"/>
          <w:b/>
          <w:sz w:val="20"/>
          <w:szCs w:val="20"/>
        </w:rPr>
        <w:t>Objectives:</w:t>
      </w:r>
    </w:p>
    <w:p w14:paraId="47350B3E" w14:textId="5A9224D6" w:rsidR="0059177D" w:rsidRPr="00F057AE" w:rsidRDefault="0059177D">
      <w:pPr>
        <w:rPr>
          <w:rFonts w:ascii="Arial" w:hAnsi="Arial" w:cs="Arial"/>
          <w:sz w:val="20"/>
          <w:szCs w:val="20"/>
        </w:rPr>
      </w:pPr>
    </w:p>
    <w:p w14:paraId="751074D1" w14:textId="77777777" w:rsidR="00796F7C" w:rsidRPr="00F057AE" w:rsidRDefault="00796F7C" w:rsidP="00796F7C">
      <w:pPr>
        <w:pStyle w:val="FirstParagraph"/>
        <w:spacing w:before="0" w:after="0"/>
        <w:ind w:left="270" w:hanging="270"/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1) Estimate BNF and N budgets in soybean considering N and sulfur (S) fertilization rates.</w:t>
      </w:r>
    </w:p>
    <w:p w14:paraId="135E651F" w14:textId="77777777" w:rsidR="00796F7C" w:rsidRPr="00F057AE" w:rsidRDefault="00796F7C" w:rsidP="00796F7C">
      <w:pPr>
        <w:pStyle w:val="FirstParagraph"/>
        <w:spacing w:before="0" w:after="0"/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2) Build a predictive model for BNF in the United States using environmental data.</w:t>
      </w:r>
    </w:p>
    <w:p w14:paraId="275A1F05" w14:textId="77777777" w:rsidR="00796F7C" w:rsidRPr="00F057AE" w:rsidRDefault="00796F7C" w:rsidP="00796F7C">
      <w:pPr>
        <w:pStyle w:val="FirstParagraph"/>
        <w:spacing w:before="0" w:after="0"/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 xml:space="preserve">3) Extend the results to soybean growers using local and national extension networks.   </w:t>
      </w:r>
    </w:p>
    <w:p w14:paraId="339C0AE5" w14:textId="4764C49A" w:rsidR="00796F7C" w:rsidRPr="00F057AE" w:rsidRDefault="00796F7C">
      <w:pPr>
        <w:rPr>
          <w:rFonts w:ascii="Arial" w:hAnsi="Arial" w:cs="Arial"/>
          <w:sz w:val="20"/>
          <w:szCs w:val="20"/>
        </w:rPr>
      </w:pPr>
    </w:p>
    <w:p w14:paraId="7FD73437" w14:textId="2722098B" w:rsidR="00796F7C" w:rsidRPr="00F057AE" w:rsidRDefault="00796F7C">
      <w:pPr>
        <w:rPr>
          <w:rFonts w:ascii="Arial" w:hAnsi="Arial" w:cs="Arial"/>
          <w:b/>
          <w:bCs/>
          <w:sz w:val="20"/>
          <w:szCs w:val="20"/>
        </w:rPr>
      </w:pPr>
      <w:r w:rsidRPr="00F057AE">
        <w:rPr>
          <w:rFonts w:ascii="Arial" w:hAnsi="Arial" w:cs="Arial"/>
          <w:b/>
          <w:bCs/>
          <w:sz w:val="20"/>
          <w:szCs w:val="20"/>
        </w:rPr>
        <w:t>Objective 1: Estimate BNF and N budgets in soybean considering N and sulfur (S) fertilization rates.</w:t>
      </w:r>
    </w:p>
    <w:p w14:paraId="5FD4DAD5" w14:textId="03DC0635" w:rsidR="00796F7C" w:rsidRPr="00F057AE" w:rsidRDefault="00796F7C">
      <w:pPr>
        <w:rPr>
          <w:rFonts w:ascii="Arial" w:hAnsi="Arial" w:cs="Arial"/>
          <w:b/>
          <w:bCs/>
          <w:sz w:val="20"/>
          <w:szCs w:val="20"/>
        </w:rPr>
      </w:pPr>
    </w:p>
    <w:p w14:paraId="2AE6D727" w14:textId="7CE55B0B" w:rsidR="00796F7C" w:rsidRPr="00F057AE" w:rsidRDefault="00796F7C">
      <w:pPr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In 202</w:t>
      </w:r>
      <w:r w:rsidR="004D75E5" w:rsidRPr="00F057AE">
        <w:rPr>
          <w:rFonts w:ascii="Arial" w:hAnsi="Arial" w:cs="Arial"/>
          <w:sz w:val="20"/>
          <w:szCs w:val="20"/>
        </w:rPr>
        <w:t>2</w:t>
      </w:r>
      <w:r w:rsidRPr="00F057AE">
        <w:rPr>
          <w:rFonts w:ascii="Arial" w:hAnsi="Arial" w:cs="Arial"/>
          <w:sz w:val="20"/>
          <w:szCs w:val="20"/>
        </w:rPr>
        <w:t xml:space="preserve">, this study was performed at </w:t>
      </w:r>
      <w:r w:rsidR="00F057AE" w:rsidRPr="00F057AE">
        <w:rPr>
          <w:rFonts w:ascii="Arial" w:hAnsi="Arial" w:cs="Arial"/>
          <w:sz w:val="20"/>
          <w:szCs w:val="20"/>
        </w:rPr>
        <w:t>30</w:t>
      </w:r>
      <w:r w:rsidRPr="00F057AE">
        <w:rPr>
          <w:rFonts w:ascii="Arial" w:hAnsi="Arial" w:cs="Arial"/>
          <w:sz w:val="20"/>
          <w:szCs w:val="20"/>
        </w:rPr>
        <w:t xml:space="preserve"> locations in 1</w:t>
      </w:r>
      <w:r w:rsidR="00F057AE" w:rsidRPr="00F057AE">
        <w:rPr>
          <w:rFonts w:ascii="Arial" w:hAnsi="Arial" w:cs="Arial"/>
          <w:sz w:val="20"/>
          <w:szCs w:val="20"/>
        </w:rPr>
        <w:t>4</w:t>
      </w:r>
      <w:r w:rsidRPr="00F057AE">
        <w:rPr>
          <w:rFonts w:ascii="Arial" w:hAnsi="Arial" w:cs="Arial"/>
          <w:sz w:val="20"/>
          <w:szCs w:val="20"/>
        </w:rPr>
        <w:t xml:space="preserve"> states with </w:t>
      </w:r>
      <w:r w:rsidR="00F31E74" w:rsidRPr="00F057AE">
        <w:rPr>
          <w:rFonts w:ascii="Arial" w:hAnsi="Arial" w:cs="Arial"/>
          <w:sz w:val="20"/>
          <w:szCs w:val="20"/>
        </w:rPr>
        <w:t xml:space="preserve">Dr. </w:t>
      </w:r>
      <w:r w:rsidRPr="00F057AE">
        <w:rPr>
          <w:rFonts w:ascii="Arial" w:hAnsi="Arial" w:cs="Arial"/>
          <w:sz w:val="20"/>
          <w:szCs w:val="20"/>
        </w:rPr>
        <w:t xml:space="preserve">Ignacio </w:t>
      </w:r>
      <w:proofErr w:type="spellStart"/>
      <w:r w:rsidRPr="00F057AE">
        <w:rPr>
          <w:rFonts w:ascii="Arial" w:hAnsi="Arial" w:cs="Arial"/>
          <w:sz w:val="20"/>
          <w:szCs w:val="20"/>
        </w:rPr>
        <w:t>Ciampitti</w:t>
      </w:r>
      <w:proofErr w:type="spellEnd"/>
      <w:r w:rsidRPr="00F057AE">
        <w:rPr>
          <w:rFonts w:ascii="Arial" w:hAnsi="Arial" w:cs="Arial"/>
          <w:sz w:val="20"/>
          <w:szCs w:val="20"/>
        </w:rPr>
        <w:t xml:space="preserve"> of Kansas State University </w:t>
      </w:r>
      <w:r w:rsidR="00F31E74" w:rsidRPr="00F057AE">
        <w:rPr>
          <w:rFonts w:ascii="Arial" w:hAnsi="Arial" w:cs="Arial"/>
          <w:sz w:val="20"/>
          <w:szCs w:val="20"/>
        </w:rPr>
        <w:t xml:space="preserve">(KSU) </w:t>
      </w:r>
      <w:r w:rsidRPr="00F057AE">
        <w:rPr>
          <w:rFonts w:ascii="Arial" w:hAnsi="Arial" w:cs="Arial"/>
          <w:sz w:val="20"/>
          <w:szCs w:val="20"/>
        </w:rPr>
        <w:t>serving as the lead PI.  Every effort was made to select a site in each state that was likely to be 1) responsive, and 1) no</w:t>
      </w:r>
      <w:r w:rsidR="006079C4" w:rsidRPr="00F057AE">
        <w:rPr>
          <w:rFonts w:ascii="Arial" w:hAnsi="Arial" w:cs="Arial"/>
          <w:sz w:val="20"/>
          <w:szCs w:val="20"/>
        </w:rPr>
        <w:t>n</w:t>
      </w:r>
      <w:r w:rsidRPr="00F057AE">
        <w:rPr>
          <w:rFonts w:ascii="Arial" w:hAnsi="Arial" w:cs="Arial"/>
          <w:sz w:val="20"/>
          <w:szCs w:val="20"/>
        </w:rPr>
        <w:t xml:space="preserve">-responsive to soybean </w:t>
      </w:r>
      <w:r w:rsidR="00F31E74" w:rsidRPr="00F057AE">
        <w:rPr>
          <w:rFonts w:ascii="Arial" w:hAnsi="Arial" w:cs="Arial"/>
          <w:sz w:val="20"/>
          <w:szCs w:val="20"/>
        </w:rPr>
        <w:t>S</w:t>
      </w:r>
      <w:r w:rsidRPr="00F057AE">
        <w:rPr>
          <w:rFonts w:ascii="Arial" w:hAnsi="Arial" w:cs="Arial"/>
          <w:sz w:val="20"/>
          <w:szCs w:val="20"/>
        </w:rPr>
        <w:t xml:space="preserve"> fertilization.</w:t>
      </w:r>
      <w:r w:rsidR="00F057AE" w:rsidRPr="00F057AE">
        <w:rPr>
          <w:rFonts w:ascii="Arial" w:hAnsi="Arial" w:cs="Arial"/>
          <w:sz w:val="20"/>
          <w:szCs w:val="20"/>
        </w:rPr>
        <w:t xml:space="preserve">  This study is a continuation of an effort begun in the spring of 2021. If all proposed locations are harvested in 2022, there will be 57 site-years of data.</w:t>
      </w:r>
    </w:p>
    <w:p w14:paraId="77F4A02A" w14:textId="7EB16D2E" w:rsidR="00796F7C" w:rsidRPr="00F057AE" w:rsidRDefault="00796F7C">
      <w:pPr>
        <w:rPr>
          <w:rFonts w:ascii="Arial" w:hAnsi="Arial" w:cs="Arial"/>
          <w:sz w:val="20"/>
          <w:szCs w:val="20"/>
        </w:rPr>
      </w:pPr>
    </w:p>
    <w:p w14:paraId="2EDB4DD3" w14:textId="20384D44" w:rsidR="00796F7C" w:rsidRPr="00F057AE" w:rsidRDefault="00796F7C" w:rsidP="00796F7C">
      <w:pPr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In South Dakota, the studies were planted in Aurora (</w:t>
      </w:r>
      <w:r w:rsidR="006079C4" w:rsidRPr="00F057AE">
        <w:rPr>
          <w:rFonts w:ascii="Arial" w:hAnsi="Arial" w:cs="Arial"/>
          <w:sz w:val="20"/>
          <w:szCs w:val="20"/>
        </w:rPr>
        <w:t xml:space="preserve">theoretical </w:t>
      </w:r>
      <w:r w:rsidRPr="00F057AE">
        <w:rPr>
          <w:rFonts w:ascii="Arial" w:hAnsi="Arial" w:cs="Arial"/>
          <w:sz w:val="20"/>
          <w:szCs w:val="20"/>
        </w:rPr>
        <w:t>responsive environment) and Brookings (</w:t>
      </w:r>
      <w:r w:rsidR="006079C4" w:rsidRPr="00F057AE">
        <w:rPr>
          <w:rFonts w:ascii="Arial" w:hAnsi="Arial" w:cs="Arial"/>
          <w:sz w:val="20"/>
          <w:szCs w:val="20"/>
        </w:rPr>
        <w:t xml:space="preserve">theoretical </w:t>
      </w:r>
      <w:r w:rsidRPr="00F057AE">
        <w:rPr>
          <w:rFonts w:ascii="Arial" w:hAnsi="Arial" w:cs="Arial"/>
          <w:sz w:val="20"/>
          <w:szCs w:val="20"/>
        </w:rPr>
        <w:t xml:space="preserve">non-responsive environment).  Plots were planted at both locations in May.  Soil samples were collected prior to planting and N and S fertilizer treatments were </w:t>
      </w:r>
      <w:r w:rsidR="00F31E74" w:rsidRPr="00F057AE">
        <w:rPr>
          <w:rFonts w:ascii="Arial" w:hAnsi="Arial" w:cs="Arial"/>
          <w:sz w:val="20"/>
          <w:szCs w:val="20"/>
        </w:rPr>
        <w:t>surface applied</w:t>
      </w:r>
      <w:r w:rsidRPr="00F057AE">
        <w:rPr>
          <w:rFonts w:ascii="Arial" w:hAnsi="Arial" w:cs="Arial"/>
          <w:sz w:val="20"/>
          <w:szCs w:val="20"/>
        </w:rPr>
        <w:t xml:space="preserve"> immediately following planting.  </w:t>
      </w:r>
      <w:r w:rsidR="00F31E74" w:rsidRPr="00F057AE">
        <w:rPr>
          <w:rFonts w:ascii="Arial" w:hAnsi="Arial" w:cs="Arial"/>
          <w:sz w:val="20"/>
          <w:szCs w:val="20"/>
        </w:rPr>
        <w:t xml:space="preserve">Plant and soil samples were collected at the R2, R4, and R6 growth stages.  The soil samples were frozen </w:t>
      </w:r>
      <w:r w:rsidR="008D7ABF" w:rsidRPr="00F057AE">
        <w:rPr>
          <w:rFonts w:ascii="Arial" w:hAnsi="Arial" w:cs="Arial"/>
          <w:sz w:val="20"/>
          <w:szCs w:val="20"/>
        </w:rPr>
        <w:t xml:space="preserve">and </w:t>
      </w:r>
      <w:proofErr w:type="spellStart"/>
      <w:r w:rsidR="00F057AE" w:rsidRPr="00F057AE">
        <w:rPr>
          <w:rFonts w:ascii="Arial" w:hAnsi="Arial" w:cs="Arial"/>
          <w:sz w:val="20"/>
          <w:szCs w:val="20"/>
        </w:rPr>
        <w:t>deivered</w:t>
      </w:r>
      <w:proofErr w:type="spellEnd"/>
      <w:r w:rsidR="008D7ABF" w:rsidRPr="00F057AE">
        <w:rPr>
          <w:rFonts w:ascii="Arial" w:hAnsi="Arial" w:cs="Arial"/>
          <w:sz w:val="20"/>
          <w:szCs w:val="20"/>
        </w:rPr>
        <w:t xml:space="preserve"> </w:t>
      </w:r>
      <w:r w:rsidR="00F31E74" w:rsidRPr="00F057AE">
        <w:rPr>
          <w:rFonts w:ascii="Arial" w:hAnsi="Arial" w:cs="Arial"/>
          <w:sz w:val="20"/>
          <w:szCs w:val="20"/>
        </w:rPr>
        <w:t xml:space="preserve">to </w:t>
      </w:r>
      <w:proofErr w:type="spellStart"/>
      <w:r w:rsidR="00F31E74" w:rsidRPr="00F057AE">
        <w:rPr>
          <w:rFonts w:ascii="Arial" w:hAnsi="Arial" w:cs="Arial"/>
          <w:sz w:val="20"/>
          <w:szCs w:val="20"/>
        </w:rPr>
        <w:t>AgVise</w:t>
      </w:r>
      <w:proofErr w:type="spellEnd"/>
      <w:r w:rsidRPr="00F057AE">
        <w:rPr>
          <w:rFonts w:ascii="Arial" w:hAnsi="Arial" w:cs="Arial"/>
          <w:sz w:val="20"/>
          <w:szCs w:val="20"/>
        </w:rPr>
        <w:t xml:space="preserve"> </w:t>
      </w:r>
      <w:r w:rsidR="00F31E74" w:rsidRPr="00F057AE">
        <w:rPr>
          <w:rFonts w:ascii="Arial" w:hAnsi="Arial" w:cs="Arial"/>
          <w:sz w:val="20"/>
          <w:szCs w:val="20"/>
        </w:rPr>
        <w:t xml:space="preserve">Labs in Benson, MN. </w:t>
      </w:r>
      <w:r w:rsidRPr="00F057AE">
        <w:rPr>
          <w:rFonts w:ascii="Arial" w:hAnsi="Arial" w:cs="Arial"/>
          <w:sz w:val="20"/>
          <w:szCs w:val="20"/>
        </w:rPr>
        <w:t xml:space="preserve"> </w:t>
      </w:r>
      <w:r w:rsidR="00F31E74" w:rsidRPr="00F057AE">
        <w:rPr>
          <w:rFonts w:ascii="Arial" w:hAnsi="Arial" w:cs="Arial"/>
          <w:sz w:val="20"/>
          <w:szCs w:val="20"/>
        </w:rPr>
        <w:t xml:space="preserve">Soybean whole-plant and stem samples were weighed, dried and course-ground, and </w:t>
      </w:r>
      <w:r w:rsidR="00F057AE" w:rsidRPr="00F057AE">
        <w:rPr>
          <w:rFonts w:ascii="Arial" w:hAnsi="Arial" w:cs="Arial"/>
          <w:sz w:val="20"/>
          <w:szCs w:val="20"/>
        </w:rPr>
        <w:t xml:space="preserve">will be </w:t>
      </w:r>
      <w:r w:rsidR="00F31E74" w:rsidRPr="00F057AE">
        <w:rPr>
          <w:rFonts w:ascii="Arial" w:hAnsi="Arial" w:cs="Arial"/>
          <w:sz w:val="20"/>
          <w:szCs w:val="20"/>
        </w:rPr>
        <w:t xml:space="preserve">sent to Dr. </w:t>
      </w:r>
      <w:proofErr w:type="spellStart"/>
      <w:r w:rsidR="00F31E74" w:rsidRPr="00F057AE">
        <w:rPr>
          <w:rFonts w:ascii="Arial" w:hAnsi="Arial" w:cs="Arial"/>
          <w:sz w:val="20"/>
          <w:szCs w:val="20"/>
        </w:rPr>
        <w:t>Ciampitti’s</w:t>
      </w:r>
      <w:proofErr w:type="spellEnd"/>
      <w:r w:rsidR="00F31E74" w:rsidRPr="00F057AE">
        <w:rPr>
          <w:rFonts w:ascii="Arial" w:hAnsi="Arial" w:cs="Arial"/>
          <w:sz w:val="20"/>
          <w:szCs w:val="20"/>
        </w:rPr>
        <w:t xml:space="preserve"> </w:t>
      </w:r>
      <w:r w:rsidRPr="00F057AE">
        <w:rPr>
          <w:rFonts w:ascii="Arial" w:hAnsi="Arial" w:cs="Arial"/>
          <w:sz w:val="20"/>
          <w:szCs w:val="20"/>
        </w:rPr>
        <w:t xml:space="preserve">laboratory </w:t>
      </w:r>
      <w:r w:rsidR="00F31E74" w:rsidRPr="00F057AE">
        <w:rPr>
          <w:rFonts w:ascii="Arial" w:hAnsi="Arial" w:cs="Arial"/>
          <w:sz w:val="20"/>
          <w:szCs w:val="20"/>
        </w:rPr>
        <w:t xml:space="preserve">at KSU </w:t>
      </w:r>
      <w:r w:rsidRPr="00F057AE">
        <w:rPr>
          <w:rFonts w:ascii="Arial" w:hAnsi="Arial" w:cs="Arial"/>
          <w:sz w:val="20"/>
          <w:szCs w:val="20"/>
        </w:rPr>
        <w:t xml:space="preserve">for analysis.  Plots were harvested with a Kincaid plot combine in </w:t>
      </w:r>
      <w:r w:rsidR="00F31E74" w:rsidRPr="00F057AE">
        <w:rPr>
          <w:rFonts w:ascii="Arial" w:hAnsi="Arial" w:cs="Arial"/>
          <w:sz w:val="20"/>
          <w:szCs w:val="20"/>
        </w:rPr>
        <w:t xml:space="preserve">early </w:t>
      </w:r>
      <w:r w:rsidRPr="00F057AE">
        <w:rPr>
          <w:rFonts w:ascii="Arial" w:hAnsi="Arial" w:cs="Arial"/>
          <w:sz w:val="20"/>
          <w:szCs w:val="20"/>
        </w:rPr>
        <w:t>October and grain samples w</w:t>
      </w:r>
      <w:r w:rsidR="00F057AE" w:rsidRPr="00F057AE">
        <w:rPr>
          <w:rFonts w:ascii="Arial" w:hAnsi="Arial" w:cs="Arial"/>
          <w:sz w:val="20"/>
          <w:szCs w:val="20"/>
        </w:rPr>
        <w:t>ill</w:t>
      </w:r>
      <w:r w:rsidRPr="00F057AE">
        <w:rPr>
          <w:rFonts w:ascii="Arial" w:hAnsi="Arial" w:cs="Arial"/>
          <w:sz w:val="20"/>
          <w:szCs w:val="20"/>
        </w:rPr>
        <w:t xml:space="preserve"> sent to the University of </w:t>
      </w:r>
      <w:r w:rsidR="00F31E74" w:rsidRPr="00F057AE">
        <w:rPr>
          <w:rFonts w:ascii="Arial" w:hAnsi="Arial" w:cs="Arial"/>
          <w:sz w:val="20"/>
          <w:szCs w:val="20"/>
        </w:rPr>
        <w:t xml:space="preserve">Minnesota (c/o Dr. Seth </w:t>
      </w:r>
      <w:proofErr w:type="spellStart"/>
      <w:r w:rsidR="00F31E74" w:rsidRPr="00F057AE">
        <w:rPr>
          <w:rFonts w:ascii="Arial" w:hAnsi="Arial" w:cs="Arial"/>
          <w:sz w:val="20"/>
          <w:szCs w:val="20"/>
        </w:rPr>
        <w:t>Naeve</w:t>
      </w:r>
      <w:proofErr w:type="spellEnd"/>
      <w:r w:rsidR="00F31E74" w:rsidRPr="00F057AE">
        <w:rPr>
          <w:rFonts w:ascii="Arial" w:hAnsi="Arial" w:cs="Arial"/>
          <w:sz w:val="20"/>
          <w:szCs w:val="20"/>
        </w:rPr>
        <w:t>)</w:t>
      </w:r>
      <w:r w:rsidRPr="00F057AE">
        <w:rPr>
          <w:rFonts w:ascii="Arial" w:hAnsi="Arial" w:cs="Arial"/>
          <w:sz w:val="20"/>
          <w:szCs w:val="20"/>
        </w:rPr>
        <w:t xml:space="preserve"> for analysis.  A detailed analysis </w:t>
      </w:r>
      <w:r w:rsidR="00B317D9" w:rsidRPr="00F057AE">
        <w:rPr>
          <w:rFonts w:ascii="Arial" w:hAnsi="Arial" w:cs="Arial"/>
          <w:sz w:val="20"/>
          <w:szCs w:val="20"/>
        </w:rPr>
        <w:t xml:space="preserve">including yield response to fertilization </w:t>
      </w:r>
      <w:r w:rsidRPr="00F057AE">
        <w:rPr>
          <w:rFonts w:ascii="Arial" w:hAnsi="Arial" w:cs="Arial"/>
          <w:sz w:val="20"/>
          <w:szCs w:val="20"/>
        </w:rPr>
        <w:t>will be provided in future reports.</w:t>
      </w:r>
    </w:p>
    <w:p w14:paraId="0B295D8C" w14:textId="4CF6893E" w:rsidR="00F31E74" w:rsidRPr="00F057AE" w:rsidRDefault="00F31E74" w:rsidP="00796F7C">
      <w:pPr>
        <w:rPr>
          <w:rFonts w:ascii="Arial" w:hAnsi="Arial" w:cs="Arial"/>
          <w:sz w:val="20"/>
          <w:szCs w:val="20"/>
        </w:rPr>
      </w:pPr>
    </w:p>
    <w:p w14:paraId="66BAD73F" w14:textId="77777777" w:rsidR="00F31E74" w:rsidRPr="00F057AE" w:rsidRDefault="00F31E74" w:rsidP="00F31E74">
      <w:pPr>
        <w:pStyle w:val="FirstParagraph"/>
        <w:spacing w:before="0" w:after="0"/>
        <w:rPr>
          <w:rFonts w:ascii="Arial" w:hAnsi="Arial" w:cs="Arial"/>
          <w:b/>
          <w:bCs/>
          <w:sz w:val="20"/>
          <w:szCs w:val="20"/>
        </w:rPr>
      </w:pPr>
      <w:r w:rsidRPr="00F057AE">
        <w:rPr>
          <w:rFonts w:ascii="Arial" w:hAnsi="Arial" w:cs="Arial"/>
          <w:b/>
          <w:bCs/>
          <w:sz w:val="20"/>
          <w:szCs w:val="20"/>
        </w:rPr>
        <w:t>Objective 2: Build a predictive model for BNF in the United States using environmental data.</w:t>
      </w:r>
    </w:p>
    <w:p w14:paraId="00B4AE4C" w14:textId="7870AAD0" w:rsidR="0022439A" w:rsidRPr="007E6D8C" w:rsidRDefault="00F31E74" w:rsidP="007E6D8C">
      <w:pPr>
        <w:pStyle w:val="NormalWeb"/>
        <w:rPr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F057AE">
        <w:rPr>
          <w:rFonts w:ascii="Arial" w:hAnsi="Arial" w:cs="Arial"/>
          <w:sz w:val="20"/>
          <w:szCs w:val="20"/>
        </w:rPr>
        <w:t>Ciampitti</w:t>
      </w:r>
      <w:proofErr w:type="spellEnd"/>
      <w:r w:rsidRPr="00F057AE">
        <w:rPr>
          <w:rFonts w:ascii="Arial" w:hAnsi="Arial" w:cs="Arial"/>
          <w:sz w:val="20"/>
          <w:szCs w:val="20"/>
        </w:rPr>
        <w:t xml:space="preserve"> and his group </w:t>
      </w:r>
      <w:r w:rsidR="0022439A" w:rsidRPr="00F057AE">
        <w:rPr>
          <w:rFonts w:ascii="Arial" w:hAnsi="Arial" w:cs="Arial"/>
          <w:sz w:val="20"/>
          <w:szCs w:val="20"/>
        </w:rPr>
        <w:t xml:space="preserve">at KSU </w:t>
      </w:r>
      <w:r w:rsidRPr="00F057AE">
        <w:rPr>
          <w:rFonts w:ascii="Arial" w:hAnsi="Arial" w:cs="Arial"/>
          <w:sz w:val="20"/>
          <w:szCs w:val="20"/>
        </w:rPr>
        <w:t xml:space="preserve">will be conducting </w:t>
      </w:r>
      <w:r w:rsidR="0022439A" w:rsidRPr="00F057AE">
        <w:rPr>
          <w:rFonts w:ascii="Arial" w:hAnsi="Arial" w:cs="Arial"/>
          <w:sz w:val="20"/>
          <w:szCs w:val="20"/>
        </w:rPr>
        <w:t>meta-</w:t>
      </w:r>
      <w:r w:rsidRPr="00F057AE">
        <w:rPr>
          <w:rFonts w:ascii="Arial" w:hAnsi="Arial" w:cs="Arial"/>
          <w:sz w:val="20"/>
          <w:szCs w:val="20"/>
        </w:rPr>
        <w:t xml:space="preserve">analysis and attempting to build a predictive model once </w:t>
      </w:r>
      <w:r w:rsidR="0022439A" w:rsidRPr="00F057AE">
        <w:rPr>
          <w:rFonts w:ascii="Arial" w:hAnsi="Arial" w:cs="Arial"/>
          <w:sz w:val="20"/>
          <w:szCs w:val="20"/>
        </w:rPr>
        <w:t>all the data has been compiled.  Prediction models will likely be national in scope with regional considerations.</w:t>
      </w:r>
      <w:r w:rsidR="007E6D8C">
        <w:rPr>
          <w:rFonts w:ascii="Arial" w:hAnsi="Arial" w:cs="Arial"/>
          <w:sz w:val="20"/>
          <w:szCs w:val="20"/>
        </w:rPr>
        <w:t xml:space="preserve">  Preliminary observations from 2021 suggest that </w:t>
      </w:r>
      <w:r w:rsidR="007E6D8C">
        <w:rPr>
          <w:rFonts w:ascii="ArialMT" w:hAnsi="ArialMT"/>
          <w:sz w:val="20"/>
          <w:szCs w:val="20"/>
        </w:rPr>
        <w:t>d</w:t>
      </w:r>
      <w:r w:rsidR="007E6D8C" w:rsidRPr="007E6D8C">
        <w:rPr>
          <w:rFonts w:ascii="ArialMT" w:hAnsi="ArialMT"/>
          <w:sz w:val="20"/>
          <w:szCs w:val="20"/>
        </w:rPr>
        <w:t>ue to the high uncertainty in treatment response and contribution of N fixation on a deficit of soil N, N fertilization is unlikely to increase yields, leading to non-profitable recommendations. Sulfur deficiency, on the other hand, should be explored under site</w:t>
      </w:r>
      <w:r w:rsidR="007E6D8C" w:rsidRPr="007E6D8C">
        <w:rPr>
          <w:rFonts w:ascii="ArialMT" w:hAnsi="ArialMT"/>
          <w:sz w:val="20"/>
          <w:szCs w:val="20"/>
        </w:rPr>
        <w:t>-</w:t>
      </w:r>
      <w:r w:rsidR="007E6D8C" w:rsidRPr="007E6D8C">
        <w:rPr>
          <w:rFonts w:ascii="Calibri" w:hAnsi="Calibri" w:cs="Calibri"/>
          <w:sz w:val="20"/>
          <w:szCs w:val="20"/>
        </w:rPr>
        <w:t> </w:t>
      </w:r>
      <w:r w:rsidR="007E6D8C" w:rsidRPr="007E6D8C">
        <w:rPr>
          <w:rFonts w:ascii="ArialMT" w:hAnsi="ArialMT"/>
          <w:sz w:val="20"/>
          <w:szCs w:val="20"/>
        </w:rPr>
        <w:t>specific conditions.</w:t>
      </w:r>
    </w:p>
    <w:p w14:paraId="1FC47896" w14:textId="77777777" w:rsidR="0022439A" w:rsidRPr="00F057AE" w:rsidRDefault="0022439A" w:rsidP="0022439A">
      <w:pPr>
        <w:rPr>
          <w:rFonts w:ascii="Arial" w:hAnsi="Arial" w:cs="Arial"/>
          <w:b/>
          <w:sz w:val="20"/>
          <w:szCs w:val="20"/>
        </w:rPr>
      </w:pPr>
      <w:r w:rsidRPr="00F057AE">
        <w:rPr>
          <w:rFonts w:ascii="Arial" w:hAnsi="Arial" w:cs="Arial"/>
          <w:b/>
          <w:sz w:val="20"/>
          <w:szCs w:val="20"/>
        </w:rPr>
        <w:t>Objective 3. Extend results to soybean growers through extension networks.</w:t>
      </w:r>
    </w:p>
    <w:p w14:paraId="4F52E1EA" w14:textId="77777777" w:rsidR="0022439A" w:rsidRPr="00F057AE" w:rsidRDefault="0022439A" w:rsidP="0022439A">
      <w:pPr>
        <w:rPr>
          <w:rFonts w:ascii="Arial" w:hAnsi="Arial" w:cs="Arial"/>
          <w:sz w:val="20"/>
          <w:szCs w:val="20"/>
        </w:rPr>
      </w:pPr>
    </w:p>
    <w:p w14:paraId="4A259B52" w14:textId="58AFD849" w:rsidR="0022439A" w:rsidRPr="00F057AE" w:rsidRDefault="0022439A">
      <w:pPr>
        <w:rPr>
          <w:rFonts w:ascii="Arial" w:hAnsi="Arial" w:cs="Arial"/>
          <w:sz w:val="20"/>
          <w:szCs w:val="20"/>
        </w:rPr>
      </w:pPr>
      <w:r w:rsidRPr="00F057AE">
        <w:rPr>
          <w:rFonts w:ascii="Arial" w:hAnsi="Arial" w:cs="Arial"/>
          <w:sz w:val="20"/>
          <w:szCs w:val="20"/>
        </w:rPr>
        <w:t>I plan to summarize South Dakota results and share with growers through winter talks (virtual and in-person), radio interviews, SDSU extension website publications, and social media during the January - March 202</w:t>
      </w:r>
      <w:r w:rsidR="00F057AE" w:rsidRPr="00F057AE">
        <w:rPr>
          <w:rFonts w:ascii="Arial" w:hAnsi="Arial" w:cs="Arial"/>
          <w:sz w:val="20"/>
          <w:szCs w:val="20"/>
        </w:rPr>
        <w:t>3</w:t>
      </w:r>
      <w:r w:rsidRPr="00F057AE">
        <w:rPr>
          <w:rFonts w:ascii="Arial" w:hAnsi="Arial" w:cs="Arial"/>
          <w:sz w:val="20"/>
          <w:szCs w:val="20"/>
        </w:rPr>
        <w:t xml:space="preserve"> timeframe.  A national summary fact sheet will be published for the study.  A </w:t>
      </w:r>
      <w:r w:rsidR="00F057AE" w:rsidRPr="00F057AE">
        <w:rPr>
          <w:rFonts w:ascii="Arial" w:hAnsi="Arial" w:cs="Arial"/>
          <w:sz w:val="20"/>
          <w:szCs w:val="20"/>
        </w:rPr>
        <w:t>manuscript titled: ‘</w:t>
      </w:r>
      <w:r w:rsidR="00F057AE" w:rsidRPr="00F057AE">
        <w:rPr>
          <w:rFonts w:ascii="Arial" w:hAnsi="Arial" w:cs="Arial"/>
          <w:color w:val="000000"/>
          <w:sz w:val="20"/>
          <w:szCs w:val="20"/>
        </w:rPr>
        <w:t>Soybean yield response to nitrogen and sulfur fertilization in the United States: contribution of soil N and N fixation processes</w:t>
      </w:r>
      <w:r w:rsidR="00F057AE" w:rsidRPr="00F057AE">
        <w:rPr>
          <w:rFonts w:ascii="Arial" w:hAnsi="Arial" w:cs="Arial"/>
          <w:color w:val="000000"/>
          <w:sz w:val="20"/>
          <w:szCs w:val="20"/>
        </w:rPr>
        <w:t>’</w:t>
      </w:r>
      <w:r w:rsidR="00F057AE">
        <w:rPr>
          <w:rFonts w:ascii="Arial" w:hAnsi="Arial" w:cs="Arial"/>
          <w:color w:val="000000"/>
          <w:sz w:val="20"/>
          <w:szCs w:val="20"/>
        </w:rPr>
        <w:t xml:space="preserve"> has been submitted to Field Crops Research for publication.</w:t>
      </w:r>
    </w:p>
    <w:sectPr w:rsidR="0022439A" w:rsidRPr="00F057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F7C47"/>
    <w:multiLevelType w:val="multilevel"/>
    <w:tmpl w:val="F08CF134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996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7C"/>
    <w:rsid w:val="0022439A"/>
    <w:rsid w:val="004D75E5"/>
    <w:rsid w:val="0059177D"/>
    <w:rsid w:val="006079C4"/>
    <w:rsid w:val="00796F7C"/>
    <w:rsid w:val="007E6D8C"/>
    <w:rsid w:val="008D7ABF"/>
    <w:rsid w:val="00B317D9"/>
    <w:rsid w:val="00F057AE"/>
    <w:rsid w:val="00F07479"/>
    <w:rsid w:val="00F3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F4596C"/>
  <w15:chartTrackingRefBased/>
  <w15:docId w15:val="{0477A12D-A1B5-854D-A7FE-88EF2640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F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BodyText"/>
    <w:next w:val="BodyText"/>
    <w:qFormat/>
    <w:rsid w:val="00796F7C"/>
    <w:pPr>
      <w:spacing w:before="180" w:after="180"/>
    </w:pPr>
  </w:style>
  <w:style w:type="paragraph" w:styleId="BodyText">
    <w:name w:val="Body Text"/>
    <w:basedOn w:val="Normal"/>
    <w:link w:val="BodyTextChar"/>
    <w:uiPriority w:val="99"/>
    <w:semiHidden/>
    <w:unhideWhenUsed/>
    <w:rsid w:val="00796F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96F7C"/>
  </w:style>
  <w:style w:type="paragraph" w:styleId="NormalWeb">
    <w:name w:val="Normal (Web)"/>
    <w:basedOn w:val="Normal"/>
    <w:uiPriority w:val="99"/>
    <w:unhideWhenUsed/>
    <w:rsid w:val="007E6D8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Kleinjan, Jonathan</dc:creator>
  <cp:keywords/>
  <dc:description/>
  <cp:lastModifiedBy>Kleinjan, Jonathan</cp:lastModifiedBy>
  <cp:revision>4</cp:revision>
  <cp:lastPrinted>2021-11-01T13:53:00Z</cp:lastPrinted>
  <dcterms:created xsi:type="dcterms:W3CDTF">2022-10-30T16:11:00Z</dcterms:created>
  <dcterms:modified xsi:type="dcterms:W3CDTF">2022-10-30T16:29:00Z</dcterms:modified>
</cp:coreProperties>
</file>