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878D2" w14:textId="56D0010A" w:rsidR="00CF3B83" w:rsidRPr="00CF3B83" w:rsidRDefault="00CF3B83" w:rsidP="00CF3B83">
      <w:pPr>
        <w:jc w:val="center"/>
        <w:rPr>
          <w:b/>
        </w:rPr>
      </w:pPr>
      <w:r w:rsidRPr="00CF3B83">
        <w:rPr>
          <w:b/>
        </w:rPr>
        <w:t xml:space="preserve"> ISA Semi-annual report – </w:t>
      </w:r>
      <w:r w:rsidR="00311BFD">
        <w:rPr>
          <w:b/>
        </w:rPr>
        <w:t xml:space="preserve">February </w:t>
      </w:r>
      <w:r w:rsidRPr="00CF3B83">
        <w:rPr>
          <w:b/>
        </w:rPr>
        <w:t>202</w:t>
      </w:r>
      <w:r w:rsidR="00311BFD">
        <w:rPr>
          <w:b/>
        </w:rPr>
        <w:t>5</w:t>
      </w:r>
    </w:p>
    <w:p w14:paraId="25E69750" w14:textId="6F4841FD" w:rsidR="00CF3B83" w:rsidRPr="00CF3B83" w:rsidRDefault="00CF3B83" w:rsidP="002F2E89">
      <w:pPr>
        <w:spacing w:line="260" w:lineRule="atLeast"/>
      </w:pPr>
      <w:r w:rsidRPr="00CF3B83">
        <w:t>Project title: Investigating the use of nano-encapsulated seed treatments for improved management of soybean sudden death syndrome</w:t>
      </w:r>
    </w:p>
    <w:p w14:paraId="1A479129" w14:textId="3A3E0A49" w:rsidR="00CF3B83" w:rsidRDefault="00CF3B83" w:rsidP="002F2E89">
      <w:pPr>
        <w:spacing w:line="260" w:lineRule="atLeast"/>
      </w:pPr>
      <w:r>
        <w:t>PI’s: Leandro and Liu</w:t>
      </w:r>
    </w:p>
    <w:p w14:paraId="791D54C1" w14:textId="0AE2B84B" w:rsidR="00CF3B83" w:rsidRDefault="00753BF4" w:rsidP="002F2E89">
      <w:pPr>
        <w:spacing w:line="260" w:lineRule="atLeast"/>
      </w:pPr>
      <w:r>
        <w:t>Report</w:t>
      </w:r>
      <w:r w:rsidR="00CF3B83">
        <w:t xml:space="preserve"> timeline: </w:t>
      </w:r>
      <w:r>
        <w:t>Apr</w:t>
      </w:r>
      <w:r w:rsidR="00965675">
        <w:t xml:space="preserve"> 1</w:t>
      </w:r>
      <w:r>
        <w:t xml:space="preserve"> 2024 </w:t>
      </w:r>
      <w:r w:rsidR="00CF3B83">
        <w:t xml:space="preserve">– </w:t>
      </w:r>
      <w:r>
        <w:t>Jan</w:t>
      </w:r>
      <w:r w:rsidR="00965675">
        <w:t xml:space="preserve"> 31</w:t>
      </w:r>
      <w:r w:rsidR="00CF3B83">
        <w:t xml:space="preserve"> 202</w:t>
      </w:r>
      <w:r>
        <w:t>5</w:t>
      </w:r>
    </w:p>
    <w:p w14:paraId="61B14A9B" w14:textId="77777777" w:rsidR="00083FA3" w:rsidRDefault="00083FA3" w:rsidP="002F2E89">
      <w:pPr>
        <w:spacing w:line="260" w:lineRule="atLeast"/>
        <w:rPr>
          <w:b/>
        </w:rPr>
      </w:pPr>
    </w:p>
    <w:p w14:paraId="5DACBC1F" w14:textId="46B9D1C5" w:rsidR="00083FA3" w:rsidRPr="00F903A9" w:rsidRDefault="00083FA3" w:rsidP="002F2E89">
      <w:pPr>
        <w:spacing w:line="260" w:lineRule="atLeast"/>
        <w:rPr>
          <w:b/>
        </w:rPr>
      </w:pPr>
      <w:r w:rsidRPr="00F903A9">
        <w:rPr>
          <w:b/>
        </w:rPr>
        <w:t>Objective 1. Develop nano-encapsulated essential oil seed treatments using nanocellulose derived from soybean residues</w:t>
      </w:r>
    </w:p>
    <w:p w14:paraId="0CF6BFBC" w14:textId="708C3DCB" w:rsidR="00C20EDD" w:rsidRDefault="00CF00A6" w:rsidP="002F2E89">
      <w:pPr>
        <w:spacing w:line="260" w:lineRule="atLeast"/>
      </w:pPr>
      <w:r>
        <w:t>Dr. Liu’s lab has prepared nanocellulose from corn stover for use in the formulation of nano-encapsulated essential oils. Results from Fig. 1 show that corn stover derived nanocellulose has a width of 4 nm, and length of 353 nm. Corn stover derived nanocellulose has a crystallinity value of 69.5% according to X-ray diffraction analysis. Corn stover derived nanocellulose has a zeta potential value of −65 ± 3 mV, indicating its good colloidal stability.</w:t>
      </w:r>
    </w:p>
    <w:p w14:paraId="7DF57091" w14:textId="57027FE5" w:rsidR="00CF00A6" w:rsidRDefault="00CF00A6" w:rsidP="002F2E89">
      <w:pPr>
        <w:spacing w:line="260" w:lineRule="atLeast"/>
        <w:jc w:val="center"/>
        <w:rPr>
          <w:highlight w:val="yellow"/>
        </w:rPr>
      </w:pPr>
      <w:r>
        <w:rPr>
          <w:noProof/>
        </w:rPr>
        <w:drawing>
          <wp:inline distT="0" distB="0" distL="0" distR="0" wp14:anchorId="25C126AD" wp14:editId="486B49FE">
            <wp:extent cx="1739265" cy="17392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39265" cy="1739265"/>
                    </a:xfrm>
                    <a:prstGeom prst="rect">
                      <a:avLst/>
                    </a:prstGeom>
                    <a:noFill/>
                    <a:ln>
                      <a:noFill/>
                    </a:ln>
                  </pic:spPr>
                </pic:pic>
              </a:graphicData>
            </a:graphic>
          </wp:inline>
        </w:drawing>
      </w:r>
    </w:p>
    <w:p w14:paraId="4BEC73F2" w14:textId="37AE235C" w:rsidR="00CF00A6" w:rsidRDefault="00CF00A6" w:rsidP="002F2E89">
      <w:pPr>
        <w:spacing w:line="260" w:lineRule="atLeast"/>
        <w:jc w:val="both"/>
      </w:pPr>
      <w:r>
        <w:t>Fig. 1</w:t>
      </w:r>
      <w:r w:rsidR="00965675">
        <w:t>.</w:t>
      </w:r>
      <w:r>
        <w:t xml:space="preserve"> Transmission electron microscopy (TEM) images of nanocellulose prepared from corn stover. </w:t>
      </w:r>
    </w:p>
    <w:p w14:paraId="37D00288" w14:textId="77777777" w:rsidR="00CF00A6" w:rsidRDefault="00CF00A6" w:rsidP="002F2E89">
      <w:pPr>
        <w:spacing w:line="260" w:lineRule="atLeast"/>
        <w:rPr>
          <w:sz w:val="24"/>
          <w:szCs w:val="24"/>
        </w:rPr>
      </w:pPr>
      <w:r>
        <w:rPr>
          <w:sz w:val="24"/>
          <w:szCs w:val="24"/>
        </w:rPr>
        <w:t xml:space="preserve">Dr. Liu’s group worked on using corn stover derived nanocellulose to encapsulate three types of essential oils, including cassia oil, cinnamon bark oil, and lemongrass oil. All </w:t>
      </w:r>
      <w:proofErr w:type="spellStart"/>
      <w:r>
        <w:rPr>
          <w:sz w:val="24"/>
          <w:szCs w:val="24"/>
        </w:rPr>
        <w:t>nanoemulsions</w:t>
      </w:r>
      <w:proofErr w:type="spellEnd"/>
      <w:r>
        <w:rPr>
          <w:sz w:val="24"/>
          <w:szCs w:val="24"/>
        </w:rPr>
        <w:t xml:space="preserve"> with nanocellulose exhibited droplet sizes between 40 to 280 nm. All </w:t>
      </w:r>
      <w:proofErr w:type="spellStart"/>
      <w:r>
        <w:rPr>
          <w:sz w:val="24"/>
          <w:szCs w:val="24"/>
        </w:rPr>
        <w:t>nanoemulsions</w:t>
      </w:r>
      <w:proofErr w:type="spellEnd"/>
      <w:r>
        <w:rPr>
          <w:sz w:val="24"/>
          <w:szCs w:val="24"/>
        </w:rPr>
        <w:t xml:space="preserve"> without nanocellulose exhibited smaller droplet sizes (22-129nm) than </w:t>
      </w:r>
      <w:proofErr w:type="spellStart"/>
      <w:r>
        <w:rPr>
          <w:sz w:val="24"/>
          <w:szCs w:val="24"/>
        </w:rPr>
        <w:t>nanoemulsions</w:t>
      </w:r>
      <w:proofErr w:type="spellEnd"/>
      <w:r>
        <w:rPr>
          <w:sz w:val="24"/>
          <w:szCs w:val="24"/>
        </w:rPr>
        <w:t xml:space="preserve"> prepared with nanocellulose. </w:t>
      </w:r>
    </w:p>
    <w:p w14:paraId="41FDE30A" w14:textId="77777777" w:rsidR="00CF00A6" w:rsidRDefault="00CF00A6" w:rsidP="002F2E89">
      <w:pPr>
        <w:spacing w:line="260" w:lineRule="atLeast"/>
        <w:rPr>
          <w:rFonts w:eastAsia="SimSun"/>
          <w:b/>
          <w:bCs/>
          <w:sz w:val="24"/>
          <w:szCs w:val="24"/>
        </w:rPr>
      </w:pPr>
      <w:r>
        <w:rPr>
          <w:rFonts w:eastAsia="SimSun"/>
          <w:b/>
          <w:bCs/>
          <w:sz w:val="24"/>
          <w:szCs w:val="24"/>
        </w:rPr>
        <w:t xml:space="preserve">Table 1. The diameter of particle sizes and Zeta Potential results of cassia, lemongrass, and cinnamon bark oil nanoemulsion with corn stover-derived nanocellulose. </w:t>
      </w:r>
    </w:p>
    <w:tbl>
      <w:tblPr>
        <w:tblStyle w:val="TableGrid"/>
        <w:tblW w:w="0" w:type="auto"/>
        <w:tblInd w:w="0" w:type="dxa"/>
        <w:tblLook w:val="04A0" w:firstRow="1" w:lastRow="0" w:firstColumn="1" w:lastColumn="0" w:noHBand="0" w:noVBand="1"/>
      </w:tblPr>
      <w:tblGrid>
        <w:gridCol w:w="3362"/>
        <w:gridCol w:w="3087"/>
        <w:gridCol w:w="2901"/>
      </w:tblGrid>
      <w:tr w:rsidR="00CF00A6" w14:paraId="13097178" w14:textId="77777777" w:rsidTr="00CF00A6">
        <w:tc>
          <w:tcPr>
            <w:tcW w:w="3362" w:type="dxa"/>
            <w:tcBorders>
              <w:top w:val="single" w:sz="4" w:space="0" w:color="auto"/>
              <w:left w:val="single" w:sz="4" w:space="0" w:color="auto"/>
              <w:bottom w:val="single" w:sz="4" w:space="0" w:color="auto"/>
              <w:right w:val="single" w:sz="4" w:space="0" w:color="auto"/>
            </w:tcBorders>
            <w:hideMark/>
          </w:tcPr>
          <w:p w14:paraId="43FBC2FC" w14:textId="77777777" w:rsidR="00CF00A6" w:rsidRDefault="00CF00A6" w:rsidP="002F2E89">
            <w:pPr>
              <w:spacing w:line="260" w:lineRule="atLeast"/>
              <w:rPr>
                <w:sz w:val="24"/>
                <w:szCs w:val="24"/>
              </w:rPr>
            </w:pPr>
            <w:r>
              <w:rPr>
                <w:sz w:val="24"/>
                <w:szCs w:val="24"/>
              </w:rPr>
              <w:t>Sample Oil</w:t>
            </w:r>
          </w:p>
        </w:tc>
        <w:tc>
          <w:tcPr>
            <w:tcW w:w="3087" w:type="dxa"/>
            <w:tcBorders>
              <w:top w:val="single" w:sz="4" w:space="0" w:color="auto"/>
              <w:left w:val="single" w:sz="4" w:space="0" w:color="auto"/>
              <w:bottom w:val="single" w:sz="4" w:space="0" w:color="auto"/>
              <w:right w:val="single" w:sz="4" w:space="0" w:color="auto"/>
            </w:tcBorders>
            <w:hideMark/>
          </w:tcPr>
          <w:p w14:paraId="2C741AE9" w14:textId="77777777" w:rsidR="00CF00A6" w:rsidRDefault="00CF00A6" w:rsidP="002F2E89">
            <w:pPr>
              <w:spacing w:line="260" w:lineRule="atLeast"/>
              <w:rPr>
                <w:sz w:val="24"/>
                <w:szCs w:val="24"/>
              </w:rPr>
            </w:pPr>
            <w:r>
              <w:rPr>
                <w:sz w:val="24"/>
                <w:szCs w:val="24"/>
              </w:rPr>
              <w:t>Mean Diameter of particle sizes (nm)</w:t>
            </w:r>
          </w:p>
        </w:tc>
        <w:tc>
          <w:tcPr>
            <w:tcW w:w="2901" w:type="dxa"/>
            <w:tcBorders>
              <w:top w:val="single" w:sz="4" w:space="0" w:color="auto"/>
              <w:left w:val="single" w:sz="4" w:space="0" w:color="auto"/>
              <w:bottom w:val="single" w:sz="4" w:space="0" w:color="auto"/>
              <w:right w:val="single" w:sz="4" w:space="0" w:color="auto"/>
            </w:tcBorders>
            <w:hideMark/>
          </w:tcPr>
          <w:p w14:paraId="7D391C8E" w14:textId="77777777" w:rsidR="00CF00A6" w:rsidRDefault="00CF00A6" w:rsidP="002F2E89">
            <w:pPr>
              <w:spacing w:line="260" w:lineRule="atLeast"/>
              <w:rPr>
                <w:sz w:val="24"/>
                <w:szCs w:val="24"/>
              </w:rPr>
            </w:pPr>
            <w:r>
              <w:rPr>
                <w:sz w:val="24"/>
                <w:szCs w:val="24"/>
              </w:rPr>
              <w:t>Mean Zeta Potential (mv)</w:t>
            </w:r>
          </w:p>
        </w:tc>
      </w:tr>
      <w:tr w:rsidR="00CF00A6" w14:paraId="796DC7E9" w14:textId="77777777" w:rsidTr="00CF00A6">
        <w:tc>
          <w:tcPr>
            <w:tcW w:w="3362" w:type="dxa"/>
            <w:tcBorders>
              <w:top w:val="single" w:sz="4" w:space="0" w:color="auto"/>
              <w:left w:val="single" w:sz="4" w:space="0" w:color="auto"/>
              <w:bottom w:val="single" w:sz="4" w:space="0" w:color="auto"/>
              <w:right w:val="single" w:sz="4" w:space="0" w:color="auto"/>
            </w:tcBorders>
            <w:hideMark/>
          </w:tcPr>
          <w:p w14:paraId="6C52C210" w14:textId="77777777" w:rsidR="00CF00A6" w:rsidRDefault="00CF00A6" w:rsidP="002F2E89">
            <w:pPr>
              <w:spacing w:line="260" w:lineRule="atLeast"/>
              <w:rPr>
                <w:sz w:val="24"/>
                <w:szCs w:val="24"/>
              </w:rPr>
            </w:pPr>
            <w:r>
              <w:rPr>
                <w:sz w:val="24"/>
                <w:szCs w:val="24"/>
              </w:rPr>
              <w:t xml:space="preserve">Cassia Oil </w:t>
            </w:r>
          </w:p>
        </w:tc>
        <w:tc>
          <w:tcPr>
            <w:tcW w:w="3087" w:type="dxa"/>
            <w:tcBorders>
              <w:top w:val="single" w:sz="4" w:space="0" w:color="auto"/>
              <w:left w:val="single" w:sz="4" w:space="0" w:color="auto"/>
              <w:bottom w:val="single" w:sz="4" w:space="0" w:color="auto"/>
              <w:right w:val="single" w:sz="4" w:space="0" w:color="auto"/>
            </w:tcBorders>
            <w:hideMark/>
          </w:tcPr>
          <w:p w14:paraId="3DEBC5DE" w14:textId="77777777" w:rsidR="00CF00A6" w:rsidRDefault="00CF00A6" w:rsidP="002F2E89">
            <w:pPr>
              <w:spacing w:line="260" w:lineRule="atLeast"/>
              <w:rPr>
                <w:sz w:val="24"/>
                <w:szCs w:val="24"/>
              </w:rPr>
            </w:pPr>
            <w:r>
              <w:rPr>
                <w:sz w:val="24"/>
                <w:szCs w:val="24"/>
              </w:rPr>
              <w:t>198.6</w:t>
            </w:r>
          </w:p>
        </w:tc>
        <w:tc>
          <w:tcPr>
            <w:tcW w:w="2901" w:type="dxa"/>
            <w:tcBorders>
              <w:top w:val="single" w:sz="4" w:space="0" w:color="auto"/>
              <w:left w:val="single" w:sz="4" w:space="0" w:color="auto"/>
              <w:bottom w:val="single" w:sz="4" w:space="0" w:color="auto"/>
              <w:right w:val="single" w:sz="4" w:space="0" w:color="auto"/>
            </w:tcBorders>
            <w:hideMark/>
          </w:tcPr>
          <w:p w14:paraId="1912986A" w14:textId="77777777" w:rsidR="00CF00A6" w:rsidRDefault="00CF00A6" w:rsidP="002F2E89">
            <w:pPr>
              <w:spacing w:line="260" w:lineRule="atLeast"/>
              <w:rPr>
                <w:sz w:val="24"/>
                <w:szCs w:val="24"/>
              </w:rPr>
            </w:pPr>
            <w:r>
              <w:rPr>
                <w:sz w:val="24"/>
                <w:szCs w:val="24"/>
              </w:rPr>
              <w:t>-12.8</w:t>
            </w:r>
          </w:p>
        </w:tc>
      </w:tr>
      <w:tr w:rsidR="00CF00A6" w14:paraId="23BC2270" w14:textId="77777777" w:rsidTr="00CF00A6">
        <w:tc>
          <w:tcPr>
            <w:tcW w:w="3362" w:type="dxa"/>
            <w:tcBorders>
              <w:top w:val="single" w:sz="4" w:space="0" w:color="auto"/>
              <w:left w:val="single" w:sz="4" w:space="0" w:color="auto"/>
              <w:bottom w:val="single" w:sz="4" w:space="0" w:color="auto"/>
              <w:right w:val="single" w:sz="4" w:space="0" w:color="auto"/>
            </w:tcBorders>
            <w:hideMark/>
          </w:tcPr>
          <w:p w14:paraId="039B38B3" w14:textId="77777777" w:rsidR="00CF00A6" w:rsidRDefault="00CF00A6" w:rsidP="002F2E89">
            <w:pPr>
              <w:spacing w:line="260" w:lineRule="atLeast"/>
              <w:rPr>
                <w:sz w:val="24"/>
                <w:szCs w:val="24"/>
              </w:rPr>
            </w:pPr>
            <w:r>
              <w:rPr>
                <w:sz w:val="24"/>
                <w:szCs w:val="24"/>
              </w:rPr>
              <w:t>Lemongrass Oil</w:t>
            </w:r>
          </w:p>
        </w:tc>
        <w:tc>
          <w:tcPr>
            <w:tcW w:w="3087" w:type="dxa"/>
            <w:tcBorders>
              <w:top w:val="single" w:sz="4" w:space="0" w:color="auto"/>
              <w:left w:val="single" w:sz="4" w:space="0" w:color="auto"/>
              <w:bottom w:val="single" w:sz="4" w:space="0" w:color="auto"/>
              <w:right w:val="single" w:sz="4" w:space="0" w:color="auto"/>
            </w:tcBorders>
            <w:hideMark/>
          </w:tcPr>
          <w:p w14:paraId="74DAD2A9" w14:textId="77777777" w:rsidR="00CF00A6" w:rsidRDefault="00CF00A6" w:rsidP="002F2E89">
            <w:pPr>
              <w:spacing w:line="260" w:lineRule="atLeast"/>
              <w:rPr>
                <w:sz w:val="24"/>
                <w:szCs w:val="24"/>
              </w:rPr>
            </w:pPr>
            <w:r>
              <w:rPr>
                <w:sz w:val="24"/>
                <w:szCs w:val="24"/>
              </w:rPr>
              <w:t>40.2</w:t>
            </w:r>
          </w:p>
        </w:tc>
        <w:tc>
          <w:tcPr>
            <w:tcW w:w="2901" w:type="dxa"/>
            <w:tcBorders>
              <w:top w:val="single" w:sz="4" w:space="0" w:color="auto"/>
              <w:left w:val="single" w:sz="4" w:space="0" w:color="auto"/>
              <w:bottom w:val="single" w:sz="4" w:space="0" w:color="auto"/>
              <w:right w:val="single" w:sz="4" w:space="0" w:color="auto"/>
            </w:tcBorders>
            <w:hideMark/>
          </w:tcPr>
          <w:p w14:paraId="09D0A0F9" w14:textId="77777777" w:rsidR="00CF00A6" w:rsidRDefault="00CF00A6" w:rsidP="002F2E89">
            <w:pPr>
              <w:spacing w:line="260" w:lineRule="atLeast"/>
              <w:rPr>
                <w:sz w:val="24"/>
                <w:szCs w:val="24"/>
              </w:rPr>
            </w:pPr>
            <w:r>
              <w:rPr>
                <w:sz w:val="24"/>
                <w:szCs w:val="24"/>
              </w:rPr>
              <w:t>-24.8</w:t>
            </w:r>
          </w:p>
        </w:tc>
      </w:tr>
      <w:tr w:rsidR="00CF00A6" w14:paraId="5831FA70" w14:textId="77777777" w:rsidTr="00CF00A6">
        <w:tc>
          <w:tcPr>
            <w:tcW w:w="3362" w:type="dxa"/>
            <w:tcBorders>
              <w:top w:val="single" w:sz="4" w:space="0" w:color="auto"/>
              <w:left w:val="single" w:sz="4" w:space="0" w:color="auto"/>
              <w:bottom w:val="single" w:sz="4" w:space="0" w:color="auto"/>
              <w:right w:val="single" w:sz="4" w:space="0" w:color="auto"/>
            </w:tcBorders>
            <w:hideMark/>
          </w:tcPr>
          <w:p w14:paraId="0381DC16" w14:textId="77777777" w:rsidR="00CF00A6" w:rsidRDefault="00CF00A6" w:rsidP="002F2E89">
            <w:pPr>
              <w:spacing w:line="260" w:lineRule="atLeast"/>
              <w:rPr>
                <w:sz w:val="24"/>
                <w:szCs w:val="24"/>
              </w:rPr>
            </w:pPr>
            <w:r>
              <w:rPr>
                <w:sz w:val="24"/>
                <w:szCs w:val="24"/>
              </w:rPr>
              <w:t>Cinnamon Bark Oil</w:t>
            </w:r>
          </w:p>
        </w:tc>
        <w:tc>
          <w:tcPr>
            <w:tcW w:w="3087" w:type="dxa"/>
            <w:tcBorders>
              <w:top w:val="single" w:sz="4" w:space="0" w:color="auto"/>
              <w:left w:val="single" w:sz="4" w:space="0" w:color="auto"/>
              <w:bottom w:val="single" w:sz="4" w:space="0" w:color="auto"/>
              <w:right w:val="single" w:sz="4" w:space="0" w:color="auto"/>
            </w:tcBorders>
            <w:hideMark/>
          </w:tcPr>
          <w:p w14:paraId="27E4F0B7" w14:textId="77777777" w:rsidR="00CF00A6" w:rsidRDefault="00CF00A6" w:rsidP="002F2E89">
            <w:pPr>
              <w:spacing w:line="260" w:lineRule="atLeast"/>
              <w:rPr>
                <w:sz w:val="24"/>
                <w:szCs w:val="24"/>
              </w:rPr>
            </w:pPr>
            <w:r>
              <w:rPr>
                <w:sz w:val="24"/>
                <w:szCs w:val="24"/>
              </w:rPr>
              <w:t>285.3</w:t>
            </w:r>
          </w:p>
        </w:tc>
        <w:tc>
          <w:tcPr>
            <w:tcW w:w="2901" w:type="dxa"/>
            <w:tcBorders>
              <w:top w:val="single" w:sz="4" w:space="0" w:color="auto"/>
              <w:left w:val="single" w:sz="4" w:space="0" w:color="auto"/>
              <w:bottom w:val="single" w:sz="4" w:space="0" w:color="auto"/>
              <w:right w:val="single" w:sz="4" w:space="0" w:color="auto"/>
            </w:tcBorders>
            <w:hideMark/>
          </w:tcPr>
          <w:p w14:paraId="14F36337" w14:textId="77777777" w:rsidR="00CF00A6" w:rsidRDefault="00CF00A6" w:rsidP="002F2E89">
            <w:pPr>
              <w:spacing w:line="260" w:lineRule="atLeast"/>
              <w:rPr>
                <w:sz w:val="24"/>
                <w:szCs w:val="24"/>
              </w:rPr>
            </w:pPr>
            <w:r>
              <w:rPr>
                <w:sz w:val="24"/>
                <w:szCs w:val="24"/>
              </w:rPr>
              <w:t>-6.7</w:t>
            </w:r>
          </w:p>
        </w:tc>
      </w:tr>
    </w:tbl>
    <w:p w14:paraId="10618324" w14:textId="77777777" w:rsidR="00CF00A6" w:rsidRDefault="00CF00A6" w:rsidP="002F2E89">
      <w:pPr>
        <w:spacing w:line="260" w:lineRule="atLeast"/>
        <w:rPr>
          <w:rFonts w:eastAsia="SimSun"/>
          <w:sz w:val="24"/>
          <w:szCs w:val="24"/>
        </w:rPr>
      </w:pPr>
    </w:p>
    <w:p w14:paraId="4C37B95B" w14:textId="77777777" w:rsidR="002F2E89" w:rsidRDefault="002F2E89" w:rsidP="002F2E89">
      <w:pPr>
        <w:spacing w:line="260" w:lineRule="atLeast"/>
        <w:rPr>
          <w:rFonts w:eastAsia="SimSun"/>
          <w:b/>
          <w:bCs/>
          <w:sz w:val="24"/>
          <w:szCs w:val="24"/>
        </w:rPr>
      </w:pPr>
    </w:p>
    <w:p w14:paraId="07F0B780" w14:textId="10CEA670" w:rsidR="00CF00A6" w:rsidRDefault="00CF00A6" w:rsidP="002F2E89">
      <w:pPr>
        <w:spacing w:line="260" w:lineRule="atLeast"/>
        <w:rPr>
          <w:rFonts w:eastAsia="SimSun"/>
          <w:b/>
          <w:bCs/>
          <w:sz w:val="24"/>
          <w:szCs w:val="24"/>
        </w:rPr>
      </w:pPr>
      <w:r>
        <w:rPr>
          <w:rFonts w:eastAsia="SimSun"/>
          <w:b/>
          <w:bCs/>
          <w:sz w:val="24"/>
          <w:szCs w:val="24"/>
        </w:rPr>
        <w:lastRenderedPageBreak/>
        <w:t xml:space="preserve">Table 2.  The diameter of particle sizes and zeta potential results of cassia, lemongrass, and cinnamon bark oil nanoemulsion without corn stover-derived nanocellulose. </w:t>
      </w:r>
    </w:p>
    <w:tbl>
      <w:tblPr>
        <w:tblStyle w:val="TableGrid"/>
        <w:tblW w:w="0" w:type="auto"/>
        <w:tblInd w:w="0" w:type="dxa"/>
        <w:tblLook w:val="04A0" w:firstRow="1" w:lastRow="0" w:firstColumn="1" w:lastColumn="0" w:noHBand="0" w:noVBand="1"/>
      </w:tblPr>
      <w:tblGrid>
        <w:gridCol w:w="3362"/>
        <w:gridCol w:w="3087"/>
        <w:gridCol w:w="2901"/>
      </w:tblGrid>
      <w:tr w:rsidR="00CF00A6" w14:paraId="39CEF0BE" w14:textId="77777777" w:rsidTr="00CF00A6">
        <w:tc>
          <w:tcPr>
            <w:tcW w:w="3362" w:type="dxa"/>
            <w:tcBorders>
              <w:top w:val="single" w:sz="4" w:space="0" w:color="auto"/>
              <w:left w:val="single" w:sz="4" w:space="0" w:color="auto"/>
              <w:bottom w:val="single" w:sz="4" w:space="0" w:color="auto"/>
              <w:right w:val="single" w:sz="4" w:space="0" w:color="auto"/>
            </w:tcBorders>
            <w:hideMark/>
          </w:tcPr>
          <w:p w14:paraId="38BC5E8D" w14:textId="77777777" w:rsidR="00CF00A6" w:rsidRDefault="00CF00A6" w:rsidP="002F2E89">
            <w:pPr>
              <w:spacing w:line="260" w:lineRule="atLeast"/>
              <w:rPr>
                <w:sz w:val="24"/>
                <w:szCs w:val="24"/>
              </w:rPr>
            </w:pPr>
            <w:r>
              <w:rPr>
                <w:sz w:val="24"/>
                <w:szCs w:val="24"/>
              </w:rPr>
              <w:t>Sample Oil</w:t>
            </w:r>
          </w:p>
        </w:tc>
        <w:tc>
          <w:tcPr>
            <w:tcW w:w="3087" w:type="dxa"/>
            <w:tcBorders>
              <w:top w:val="single" w:sz="4" w:space="0" w:color="auto"/>
              <w:left w:val="single" w:sz="4" w:space="0" w:color="auto"/>
              <w:bottom w:val="single" w:sz="4" w:space="0" w:color="auto"/>
              <w:right w:val="single" w:sz="4" w:space="0" w:color="auto"/>
            </w:tcBorders>
            <w:hideMark/>
          </w:tcPr>
          <w:p w14:paraId="2D8411C7" w14:textId="77777777" w:rsidR="00CF00A6" w:rsidRDefault="00CF00A6" w:rsidP="002F2E89">
            <w:pPr>
              <w:spacing w:line="260" w:lineRule="atLeast"/>
              <w:rPr>
                <w:sz w:val="24"/>
                <w:szCs w:val="24"/>
              </w:rPr>
            </w:pPr>
            <w:r>
              <w:rPr>
                <w:sz w:val="24"/>
                <w:szCs w:val="24"/>
              </w:rPr>
              <w:t>Mean Diameter of particle sizes (nm)</w:t>
            </w:r>
          </w:p>
        </w:tc>
        <w:tc>
          <w:tcPr>
            <w:tcW w:w="2901" w:type="dxa"/>
            <w:tcBorders>
              <w:top w:val="single" w:sz="4" w:space="0" w:color="auto"/>
              <w:left w:val="single" w:sz="4" w:space="0" w:color="auto"/>
              <w:bottom w:val="single" w:sz="4" w:space="0" w:color="auto"/>
              <w:right w:val="single" w:sz="4" w:space="0" w:color="auto"/>
            </w:tcBorders>
            <w:hideMark/>
          </w:tcPr>
          <w:p w14:paraId="3EAACEDE" w14:textId="77777777" w:rsidR="00CF00A6" w:rsidRDefault="00CF00A6" w:rsidP="002F2E89">
            <w:pPr>
              <w:spacing w:line="260" w:lineRule="atLeast"/>
              <w:rPr>
                <w:sz w:val="24"/>
                <w:szCs w:val="24"/>
              </w:rPr>
            </w:pPr>
            <w:r>
              <w:rPr>
                <w:sz w:val="24"/>
                <w:szCs w:val="24"/>
              </w:rPr>
              <w:t>Mean Zeta Potential (mv)</w:t>
            </w:r>
          </w:p>
        </w:tc>
      </w:tr>
      <w:tr w:rsidR="00CF00A6" w14:paraId="515E234C" w14:textId="77777777" w:rsidTr="00CF00A6">
        <w:tc>
          <w:tcPr>
            <w:tcW w:w="3362" w:type="dxa"/>
            <w:tcBorders>
              <w:top w:val="single" w:sz="4" w:space="0" w:color="auto"/>
              <w:left w:val="single" w:sz="4" w:space="0" w:color="auto"/>
              <w:bottom w:val="single" w:sz="4" w:space="0" w:color="auto"/>
              <w:right w:val="single" w:sz="4" w:space="0" w:color="auto"/>
            </w:tcBorders>
            <w:hideMark/>
          </w:tcPr>
          <w:p w14:paraId="52F6778C" w14:textId="77777777" w:rsidR="00CF00A6" w:rsidRDefault="00CF00A6" w:rsidP="002F2E89">
            <w:pPr>
              <w:spacing w:line="260" w:lineRule="atLeast"/>
              <w:rPr>
                <w:sz w:val="24"/>
                <w:szCs w:val="24"/>
              </w:rPr>
            </w:pPr>
            <w:r>
              <w:rPr>
                <w:sz w:val="24"/>
                <w:szCs w:val="24"/>
              </w:rPr>
              <w:t xml:space="preserve">Cassia Oil </w:t>
            </w:r>
          </w:p>
        </w:tc>
        <w:tc>
          <w:tcPr>
            <w:tcW w:w="3087" w:type="dxa"/>
            <w:tcBorders>
              <w:top w:val="single" w:sz="4" w:space="0" w:color="auto"/>
              <w:left w:val="single" w:sz="4" w:space="0" w:color="auto"/>
              <w:bottom w:val="single" w:sz="4" w:space="0" w:color="auto"/>
              <w:right w:val="single" w:sz="4" w:space="0" w:color="auto"/>
            </w:tcBorders>
            <w:hideMark/>
          </w:tcPr>
          <w:p w14:paraId="54551D7C" w14:textId="77777777" w:rsidR="00CF00A6" w:rsidRDefault="00CF00A6" w:rsidP="002F2E89">
            <w:pPr>
              <w:spacing w:line="260" w:lineRule="atLeast"/>
              <w:rPr>
                <w:sz w:val="24"/>
                <w:szCs w:val="24"/>
              </w:rPr>
            </w:pPr>
            <w:r>
              <w:rPr>
                <w:sz w:val="24"/>
                <w:szCs w:val="24"/>
              </w:rPr>
              <w:t>128.8</w:t>
            </w:r>
          </w:p>
        </w:tc>
        <w:tc>
          <w:tcPr>
            <w:tcW w:w="2901" w:type="dxa"/>
            <w:tcBorders>
              <w:top w:val="single" w:sz="4" w:space="0" w:color="auto"/>
              <w:left w:val="single" w:sz="4" w:space="0" w:color="auto"/>
              <w:bottom w:val="single" w:sz="4" w:space="0" w:color="auto"/>
              <w:right w:val="single" w:sz="4" w:space="0" w:color="auto"/>
            </w:tcBorders>
            <w:hideMark/>
          </w:tcPr>
          <w:p w14:paraId="6058FFE7" w14:textId="77777777" w:rsidR="00CF00A6" w:rsidRDefault="00CF00A6" w:rsidP="002F2E89">
            <w:pPr>
              <w:spacing w:line="260" w:lineRule="atLeast"/>
              <w:rPr>
                <w:sz w:val="24"/>
                <w:szCs w:val="24"/>
              </w:rPr>
            </w:pPr>
            <w:r>
              <w:rPr>
                <w:sz w:val="24"/>
                <w:szCs w:val="24"/>
              </w:rPr>
              <w:t>-8.2</w:t>
            </w:r>
          </w:p>
        </w:tc>
      </w:tr>
      <w:tr w:rsidR="00CF00A6" w14:paraId="47CC1D25" w14:textId="77777777" w:rsidTr="00CF00A6">
        <w:tc>
          <w:tcPr>
            <w:tcW w:w="3362" w:type="dxa"/>
            <w:tcBorders>
              <w:top w:val="single" w:sz="4" w:space="0" w:color="auto"/>
              <w:left w:val="single" w:sz="4" w:space="0" w:color="auto"/>
              <w:bottom w:val="single" w:sz="4" w:space="0" w:color="auto"/>
              <w:right w:val="single" w:sz="4" w:space="0" w:color="auto"/>
            </w:tcBorders>
            <w:hideMark/>
          </w:tcPr>
          <w:p w14:paraId="237D0768" w14:textId="77777777" w:rsidR="00CF00A6" w:rsidRDefault="00CF00A6" w:rsidP="002F2E89">
            <w:pPr>
              <w:spacing w:line="260" w:lineRule="atLeast"/>
              <w:rPr>
                <w:sz w:val="24"/>
                <w:szCs w:val="24"/>
              </w:rPr>
            </w:pPr>
            <w:r>
              <w:rPr>
                <w:sz w:val="24"/>
                <w:szCs w:val="24"/>
              </w:rPr>
              <w:t>Lemongrass Oil</w:t>
            </w:r>
          </w:p>
        </w:tc>
        <w:tc>
          <w:tcPr>
            <w:tcW w:w="3087" w:type="dxa"/>
            <w:tcBorders>
              <w:top w:val="single" w:sz="4" w:space="0" w:color="auto"/>
              <w:left w:val="single" w:sz="4" w:space="0" w:color="auto"/>
              <w:bottom w:val="single" w:sz="4" w:space="0" w:color="auto"/>
              <w:right w:val="single" w:sz="4" w:space="0" w:color="auto"/>
            </w:tcBorders>
            <w:hideMark/>
          </w:tcPr>
          <w:p w14:paraId="0E91F0BC" w14:textId="77777777" w:rsidR="00CF00A6" w:rsidRDefault="00CF00A6" w:rsidP="002F2E89">
            <w:pPr>
              <w:spacing w:line="260" w:lineRule="atLeast"/>
              <w:rPr>
                <w:sz w:val="24"/>
                <w:szCs w:val="24"/>
              </w:rPr>
            </w:pPr>
            <w:r>
              <w:rPr>
                <w:sz w:val="24"/>
                <w:szCs w:val="24"/>
              </w:rPr>
              <w:t>22.3</w:t>
            </w:r>
          </w:p>
        </w:tc>
        <w:tc>
          <w:tcPr>
            <w:tcW w:w="2901" w:type="dxa"/>
            <w:tcBorders>
              <w:top w:val="single" w:sz="4" w:space="0" w:color="auto"/>
              <w:left w:val="single" w:sz="4" w:space="0" w:color="auto"/>
              <w:bottom w:val="single" w:sz="4" w:space="0" w:color="auto"/>
              <w:right w:val="single" w:sz="4" w:space="0" w:color="auto"/>
            </w:tcBorders>
            <w:hideMark/>
          </w:tcPr>
          <w:p w14:paraId="0FCD0882" w14:textId="77777777" w:rsidR="00CF00A6" w:rsidRDefault="00CF00A6" w:rsidP="002F2E89">
            <w:pPr>
              <w:spacing w:line="260" w:lineRule="atLeast"/>
              <w:rPr>
                <w:sz w:val="24"/>
                <w:szCs w:val="24"/>
              </w:rPr>
            </w:pPr>
            <w:r>
              <w:rPr>
                <w:sz w:val="24"/>
                <w:szCs w:val="24"/>
              </w:rPr>
              <w:t>-14.7</w:t>
            </w:r>
          </w:p>
        </w:tc>
      </w:tr>
      <w:tr w:rsidR="00CF00A6" w14:paraId="25A07D42" w14:textId="77777777" w:rsidTr="00CF00A6">
        <w:tc>
          <w:tcPr>
            <w:tcW w:w="3362" w:type="dxa"/>
            <w:tcBorders>
              <w:top w:val="single" w:sz="4" w:space="0" w:color="auto"/>
              <w:left w:val="single" w:sz="4" w:space="0" w:color="auto"/>
              <w:bottom w:val="single" w:sz="4" w:space="0" w:color="auto"/>
              <w:right w:val="single" w:sz="4" w:space="0" w:color="auto"/>
            </w:tcBorders>
            <w:hideMark/>
          </w:tcPr>
          <w:p w14:paraId="7C86FDF0" w14:textId="77777777" w:rsidR="00CF00A6" w:rsidRDefault="00CF00A6" w:rsidP="002F2E89">
            <w:pPr>
              <w:spacing w:line="260" w:lineRule="atLeast"/>
              <w:rPr>
                <w:sz w:val="24"/>
                <w:szCs w:val="24"/>
              </w:rPr>
            </w:pPr>
            <w:r>
              <w:rPr>
                <w:sz w:val="24"/>
                <w:szCs w:val="24"/>
              </w:rPr>
              <w:t>Cinnamon Bark Oil</w:t>
            </w:r>
          </w:p>
        </w:tc>
        <w:tc>
          <w:tcPr>
            <w:tcW w:w="3087" w:type="dxa"/>
            <w:tcBorders>
              <w:top w:val="single" w:sz="4" w:space="0" w:color="auto"/>
              <w:left w:val="single" w:sz="4" w:space="0" w:color="auto"/>
              <w:bottom w:val="single" w:sz="4" w:space="0" w:color="auto"/>
              <w:right w:val="single" w:sz="4" w:space="0" w:color="auto"/>
            </w:tcBorders>
            <w:hideMark/>
          </w:tcPr>
          <w:p w14:paraId="61C8D6CC" w14:textId="77777777" w:rsidR="00CF00A6" w:rsidRDefault="00CF00A6" w:rsidP="002F2E89">
            <w:pPr>
              <w:spacing w:line="260" w:lineRule="atLeast"/>
              <w:rPr>
                <w:sz w:val="24"/>
                <w:szCs w:val="24"/>
              </w:rPr>
            </w:pPr>
            <w:r>
              <w:rPr>
                <w:sz w:val="24"/>
                <w:szCs w:val="24"/>
              </w:rPr>
              <w:t>88.0</w:t>
            </w:r>
          </w:p>
        </w:tc>
        <w:tc>
          <w:tcPr>
            <w:tcW w:w="2901" w:type="dxa"/>
            <w:tcBorders>
              <w:top w:val="single" w:sz="4" w:space="0" w:color="auto"/>
              <w:left w:val="single" w:sz="4" w:space="0" w:color="auto"/>
              <w:bottom w:val="single" w:sz="4" w:space="0" w:color="auto"/>
              <w:right w:val="single" w:sz="4" w:space="0" w:color="auto"/>
            </w:tcBorders>
            <w:hideMark/>
          </w:tcPr>
          <w:p w14:paraId="70E53EA0" w14:textId="77777777" w:rsidR="00CF00A6" w:rsidRDefault="00CF00A6" w:rsidP="002F2E89">
            <w:pPr>
              <w:spacing w:line="260" w:lineRule="atLeast"/>
              <w:rPr>
                <w:sz w:val="24"/>
                <w:szCs w:val="24"/>
              </w:rPr>
            </w:pPr>
            <w:r>
              <w:rPr>
                <w:sz w:val="24"/>
                <w:szCs w:val="24"/>
              </w:rPr>
              <w:t>-9.4</w:t>
            </w:r>
          </w:p>
        </w:tc>
      </w:tr>
    </w:tbl>
    <w:p w14:paraId="4D16478B" w14:textId="77777777" w:rsidR="00965675" w:rsidRDefault="00965675" w:rsidP="002F2E89">
      <w:pPr>
        <w:spacing w:line="260" w:lineRule="atLeast"/>
        <w:rPr>
          <w:sz w:val="24"/>
          <w:szCs w:val="24"/>
        </w:rPr>
      </w:pPr>
    </w:p>
    <w:p w14:paraId="19021D0E" w14:textId="6B9F010B" w:rsidR="00CF00A6" w:rsidRDefault="00CF00A6" w:rsidP="002F2E89">
      <w:pPr>
        <w:spacing w:line="260" w:lineRule="atLeast"/>
        <w:rPr>
          <w:sz w:val="24"/>
          <w:szCs w:val="24"/>
        </w:rPr>
      </w:pPr>
      <w:r>
        <w:rPr>
          <w:sz w:val="24"/>
          <w:szCs w:val="24"/>
        </w:rPr>
        <w:t>For cassia oil and cinnamon bark oil, the essential oil loaded nanoemulsion stabilized by nanocellulose were physically stable at room temperature for storage for at least 30 days, while the nanoemulsion without the presence of nanocellulose was not physically stable. For lemongrass oil, the essential oil loaded nanoemulsion with and without nanocellulose was both physically stable. For all three essential oils, the essential oil loaded nanoemulsion stabilized by nanocellulose was also physically stable against freeze-thaw cycles, while the nanoemulsion without the presence of nanocellulose was not. These findings suggest that nanocellulose can enhance the stability of essential oils, making them more suitable for various applications.</w:t>
      </w:r>
    </w:p>
    <w:p w14:paraId="012158B6" w14:textId="77777777" w:rsidR="00CF00A6" w:rsidRDefault="00CF00A6" w:rsidP="002F2E89">
      <w:pPr>
        <w:spacing w:line="260" w:lineRule="atLeast"/>
        <w:rPr>
          <w:sz w:val="24"/>
          <w:szCs w:val="24"/>
        </w:rPr>
      </w:pPr>
    </w:p>
    <w:p w14:paraId="19BD56C0" w14:textId="77777777" w:rsidR="00083FA3" w:rsidRPr="00FF2CCF" w:rsidRDefault="00083FA3" w:rsidP="002F2E89">
      <w:pPr>
        <w:spacing w:line="260" w:lineRule="atLeast"/>
        <w:rPr>
          <w:b/>
        </w:rPr>
      </w:pPr>
      <w:r w:rsidRPr="00FF2CCF">
        <w:rPr>
          <w:b/>
        </w:rPr>
        <w:t xml:space="preserve">2. Test the effectiveness of the essential oils in suppressing growth of the SDS pathogen, </w:t>
      </w:r>
      <w:r w:rsidRPr="00FF2CCF">
        <w:rPr>
          <w:b/>
          <w:i/>
        </w:rPr>
        <w:t>F. virguliforme</w:t>
      </w:r>
      <w:r w:rsidRPr="00FF2CCF">
        <w:rPr>
          <w:b/>
        </w:rPr>
        <w:t xml:space="preserve">, </w:t>
      </w:r>
      <w:r w:rsidRPr="00FF2CCF">
        <w:rPr>
          <w:b/>
          <w:i/>
        </w:rPr>
        <w:t>in-vitro</w:t>
      </w:r>
    </w:p>
    <w:p w14:paraId="7AA7FE64" w14:textId="630D4522" w:rsidR="00091854" w:rsidRPr="002F2E89" w:rsidRDefault="00ED6EC6" w:rsidP="002F2E89">
      <w:pPr>
        <w:spacing w:line="260" w:lineRule="atLeast"/>
        <w:rPr>
          <w:sz w:val="24"/>
          <w:szCs w:val="24"/>
        </w:rPr>
      </w:pPr>
      <w:r w:rsidRPr="002F2E89">
        <w:rPr>
          <w:sz w:val="24"/>
          <w:szCs w:val="24"/>
          <w:lang w:val="en"/>
        </w:rPr>
        <w:t>Dr. Leandro’s lab</w:t>
      </w:r>
      <w:r w:rsidR="00965675" w:rsidRPr="002F2E89">
        <w:rPr>
          <w:sz w:val="24"/>
          <w:szCs w:val="24"/>
          <w:lang w:val="en"/>
        </w:rPr>
        <w:t xml:space="preserve"> conducted phytotoxicity tests with the 16 essential oils previously screened for </w:t>
      </w:r>
      <w:r w:rsidR="00965675" w:rsidRPr="002F2E89">
        <w:rPr>
          <w:i/>
          <w:iCs/>
          <w:sz w:val="24"/>
          <w:szCs w:val="24"/>
          <w:lang w:val="en"/>
        </w:rPr>
        <w:t>in-vitro</w:t>
      </w:r>
      <w:r w:rsidR="00965675" w:rsidRPr="002F2E89">
        <w:rPr>
          <w:sz w:val="24"/>
          <w:szCs w:val="24"/>
          <w:lang w:val="en"/>
        </w:rPr>
        <w:t xml:space="preserve"> activity against four pathogens of soybean. </w:t>
      </w:r>
      <w:r w:rsidR="00091854" w:rsidRPr="002F2E89">
        <w:rPr>
          <w:sz w:val="24"/>
          <w:szCs w:val="24"/>
          <w:lang w:val="en"/>
        </w:rPr>
        <w:t>These tests are necessary to obtain baseline information about the potential for the EO seed treatments to affect seed germination and vigor of the seedlings. S</w:t>
      </w:r>
      <w:r w:rsidR="002F2E89">
        <w:rPr>
          <w:sz w:val="24"/>
          <w:szCs w:val="24"/>
          <w:lang w:val="en"/>
        </w:rPr>
        <w:t>oybean s</w:t>
      </w:r>
      <w:proofErr w:type="spellStart"/>
      <w:r w:rsidR="002F2E89" w:rsidRPr="002F2E89">
        <w:rPr>
          <w:sz w:val="24"/>
          <w:szCs w:val="24"/>
        </w:rPr>
        <w:t>ee</w:t>
      </w:r>
      <w:r w:rsidR="002F2E89">
        <w:rPr>
          <w:sz w:val="24"/>
          <w:szCs w:val="24"/>
        </w:rPr>
        <w:t>ds</w:t>
      </w:r>
      <w:proofErr w:type="spellEnd"/>
      <w:r w:rsidR="00C46990" w:rsidRPr="002F2E89">
        <w:rPr>
          <w:sz w:val="24"/>
          <w:szCs w:val="24"/>
        </w:rPr>
        <w:t xml:space="preserve"> </w:t>
      </w:r>
      <w:r w:rsidR="002F2E89">
        <w:rPr>
          <w:sz w:val="24"/>
          <w:szCs w:val="24"/>
        </w:rPr>
        <w:t>were</w:t>
      </w:r>
      <w:r w:rsidR="00091854" w:rsidRPr="002F2E89">
        <w:rPr>
          <w:sz w:val="24"/>
          <w:szCs w:val="24"/>
        </w:rPr>
        <w:t xml:space="preserve"> treated with three</w:t>
      </w:r>
      <w:r w:rsidR="00C46990" w:rsidRPr="002F2E89">
        <w:rPr>
          <w:sz w:val="24"/>
          <w:szCs w:val="24"/>
        </w:rPr>
        <w:t xml:space="preserve"> coat</w:t>
      </w:r>
      <w:r w:rsidR="00091854" w:rsidRPr="002F2E89">
        <w:rPr>
          <w:sz w:val="24"/>
          <w:szCs w:val="24"/>
        </w:rPr>
        <w:t xml:space="preserve">s of </w:t>
      </w:r>
      <w:r w:rsidR="00C46990" w:rsidRPr="002F2E89">
        <w:rPr>
          <w:sz w:val="24"/>
          <w:szCs w:val="24"/>
        </w:rPr>
        <w:t xml:space="preserve">the essential oils, planted in pasteurized soil, and evaluated for seed germination, seed emergence, and root length after 7 days. </w:t>
      </w:r>
      <w:r w:rsidR="00091854" w:rsidRPr="002F2E89">
        <w:rPr>
          <w:sz w:val="24"/>
          <w:szCs w:val="24"/>
        </w:rPr>
        <w:t xml:space="preserve">We have completed two runs screening the first set of essential oils and will complete the runs for the second set in early February. To date results suggest that some of oils with the most potent anti-microbial activity cause light phytotoxicity to seeds. We expect that the nanoencapsulation of the oils </w:t>
      </w:r>
      <w:r w:rsidR="005A1E8D" w:rsidRPr="002F2E89">
        <w:rPr>
          <w:sz w:val="24"/>
          <w:szCs w:val="24"/>
        </w:rPr>
        <w:t xml:space="preserve">with </w:t>
      </w:r>
      <w:r w:rsidR="00091854" w:rsidRPr="002F2E89">
        <w:rPr>
          <w:sz w:val="24"/>
          <w:szCs w:val="24"/>
        </w:rPr>
        <w:t xml:space="preserve">corn or soybean cellulose </w:t>
      </w:r>
      <w:r w:rsidR="005A1E8D" w:rsidRPr="002F2E89">
        <w:rPr>
          <w:sz w:val="24"/>
          <w:szCs w:val="24"/>
        </w:rPr>
        <w:t xml:space="preserve">prepared by Dr. Liu will reduce the phytotoxicity, while maintaining or enhancing anti-fungal activity. </w:t>
      </w:r>
    </w:p>
    <w:p w14:paraId="24A2ADFB" w14:textId="0FE63B5A" w:rsidR="005A1E8D" w:rsidRPr="002F2E89" w:rsidRDefault="005A1E8D" w:rsidP="002F2E89">
      <w:pPr>
        <w:spacing w:line="260" w:lineRule="atLeast"/>
        <w:rPr>
          <w:sz w:val="24"/>
          <w:szCs w:val="24"/>
        </w:rPr>
      </w:pPr>
      <w:r w:rsidRPr="002F2E89">
        <w:rPr>
          <w:sz w:val="24"/>
          <w:szCs w:val="24"/>
        </w:rPr>
        <w:t>We have also conducted a growth chamber assay as a preliminary test of the nanoencapsulated treatments</w:t>
      </w:r>
      <w:r w:rsidR="002F2E89">
        <w:rPr>
          <w:sz w:val="24"/>
          <w:szCs w:val="24"/>
        </w:rPr>
        <w:t xml:space="preserve"> and to fine-time the experimental protocol. This assay showed promising results with a significant reduction of root rot and no significant phytotoxicity on plants treated with nanoencapsulated cassia oil. </w:t>
      </w:r>
    </w:p>
    <w:sectPr w:rsidR="005A1E8D" w:rsidRPr="002F2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12F"/>
    <w:rsid w:val="000545C1"/>
    <w:rsid w:val="00083FA3"/>
    <w:rsid w:val="00091854"/>
    <w:rsid w:val="000A04CF"/>
    <w:rsid w:val="000B5D44"/>
    <w:rsid w:val="0012212F"/>
    <w:rsid w:val="00195E0E"/>
    <w:rsid w:val="001F0E52"/>
    <w:rsid w:val="00290E21"/>
    <w:rsid w:val="002F2E89"/>
    <w:rsid w:val="00311BFD"/>
    <w:rsid w:val="00324B8E"/>
    <w:rsid w:val="003326B4"/>
    <w:rsid w:val="0035187A"/>
    <w:rsid w:val="003772B1"/>
    <w:rsid w:val="005A1E8D"/>
    <w:rsid w:val="006242C0"/>
    <w:rsid w:val="006462CD"/>
    <w:rsid w:val="00653481"/>
    <w:rsid w:val="006E740A"/>
    <w:rsid w:val="00753BF4"/>
    <w:rsid w:val="008D429C"/>
    <w:rsid w:val="009526AE"/>
    <w:rsid w:val="00965675"/>
    <w:rsid w:val="00A93EB5"/>
    <w:rsid w:val="00C20EDD"/>
    <w:rsid w:val="00C210EA"/>
    <w:rsid w:val="00C46990"/>
    <w:rsid w:val="00CF00A6"/>
    <w:rsid w:val="00CF3B83"/>
    <w:rsid w:val="00ED6EC6"/>
    <w:rsid w:val="00F260B9"/>
    <w:rsid w:val="00F54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78FC0"/>
  <w15:chartTrackingRefBased/>
  <w15:docId w15:val="{7C77E848-FACB-48C9-9942-868B6F846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00A6"/>
    <w:pPr>
      <w:spacing w:after="0" w:line="240" w:lineRule="auto"/>
    </w:pPr>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093950">
      <w:bodyDiv w:val="1"/>
      <w:marLeft w:val="0"/>
      <w:marRight w:val="0"/>
      <w:marTop w:val="0"/>
      <w:marBottom w:val="0"/>
      <w:divBdr>
        <w:top w:val="none" w:sz="0" w:space="0" w:color="auto"/>
        <w:left w:val="none" w:sz="0" w:space="0" w:color="auto"/>
        <w:bottom w:val="none" w:sz="0" w:space="0" w:color="auto"/>
        <w:right w:val="none" w:sz="0" w:space="0" w:color="auto"/>
      </w:divBdr>
    </w:div>
    <w:div w:id="1026445477">
      <w:bodyDiv w:val="1"/>
      <w:marLeft w:val="0"/>
      <w:marRight w:val="0"/>
      <w:marTop w:val="0"/>
      <w:marBottom w:val="0"/>
      <w:divBdr>
        <w:top w:val="none" w:sz="0" w:space="0" w:color="auto"/>
        <w:left w:val="none" w:sz="0" w:space="0" w:color="auto"/>
        <w:bottom w:val="none" w:sz="0" w:space="0" w:color="auto"/>
        <w:right w:val="none" w:sz="0" w:space="0" w:color="auto"/>
      </w:divBdr>
      <w:divsChild>
        <w:div w:id="432360862">
          <w:marLeft w:val="0"/>
          <w:marRight w:val="0"/>
          <w:marTop w:val="0"/>
          <w:marBottom w:val="0"/>
          <w:divBdr>
            <w:top w:val="none" w:sz="0" w:space="0" w:color="auto"/>
            <w:left w:val="none" w:sz="0" w:space="0" w:color="auto"/>
            <w:bottom w:val="none" w:sz="0" w:space="0" w:color="auto"/>
            <w:right w:val="none" w:sz="0" w:space="0" w:color="auto"/>
          </w:divBdr>
        </w:div>
      </w:divsChild>
    </w:div>
    <w:div w:id="214318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2</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Lingling [A&amp;BE]</dc:creator>
  <cp:keywords/>
  <dc:description/>
  <cp:lastModifiedBy>Leandro, Leonor [PPEM]</cp:lastModifiedBy>
  <cp:revision>8</cp:revision>
  <dcterms:created xsi:type="dcterms:W3CDTF">2025-02-10T14:49:00Z</dcterms:created>
  <dcterms:modified xsi:type="dcterms:W3CDTF">2025-02-16T22:54:00Z</dcterms:modified>
</cp:coreProperties>
</file>