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0A98D" w14:textId="20B68FCE" w:rsidR="003E2202" w:rsidRPr="00F057AE" w:rsidRDefault="00BB7FD2" w:rsidP="003E2202">
      <w:pPr>
        <w:rPr>
          <w:rFonts w:ascii="Arial" w:hAnsi="Arial" w:cs="Arial"/>
          <w:sz w:val="20"/>
          <w:szCs w:val="20"/>
        </w:rPr>
      </w:pPr>
      <w:r>
        <w:rPr>
          <w:rFonts w:ascii="Arial" w:hAnsi="Arial" w:cs="Arial"/>
          <w:sz w:val="20"/>
          <w:szCs w:val="20"/>
        </w:rPr>
        <w:t>Thir</w:t>
      </w:r>
      <w:r w:rsidR="000E652E">
        <w:rPr>
          <w:rFonts w:ascii="Arial" w:hAnsi="Arial" w:cs="Arial"/>
          <w:sz w:val="20"/>
          <w:szCs w:val="20"/>
        </w:rPr>
        <w:t>d</w:t>
      </w:r>
      <w:r w:rsidR="003E2202" w:rsidRPr="00F057AE">
        <w:rPr>
          <w:rFonts w:ascii="Arial" w:hAnsi="Arial" w:cs="Arial"/>
          <w:sz w:val="20"/>
          <w:szCs w:val="20"/>
        </w:rPr>
        <w:t xml:space="preserve"> quarter progress report FY2</w:t>
      </w:r>
      <w:r w:rsidR="00095698">
        <w:rPr>
          <w:rFonts w:ascii="Arial" w:hAnsi="Arial" w:cs="Arial"/>
          <w:sz w:val="20"/>
          <w:szCs w:val="20"/>
        </w:rPr>
        <w:t>3</w:t>
      </w:r>
      <w:r w:rsidR="003E2202" w:rsidRPr="00F057AE">
        <w:rPr>
          <w:rFonts w:ascii="Arial" w:hAnsi="Arial" w:cs="Arial"/>
          <w:sz w:val="20"/>
          <w:szCs w:val="20"/>
        </w:rPr>
        <w:t xml:space="preserve"> – </w:t>
      </w:r>
      <w:proofErr w:type="spellStart"/>
      <w:r w:rsidR="003E2202" w:rsidRPr="00F057AE">
        <w:rPr>
          <w:rFonts w:ascii="Arial" w:hAnsi="Arial" w:cs="Arial"/>
          <w:sz w:val="20"/>
          <w:szCs w:val="20"/>
        </w:rPr>
        <w:t>Kle</w:t>
      </w:r>
      <w:r w:rsidR="003E2202">
        <w:rPr>
          <w:rFonts w:ascii="Arial" w:hAnsi="Arial" w:cs="Arial"/>
          <w:sz w:val="20"/>
          <w:szCs w:val="20"/>
        </w:rPr>
        <w:t>injan</w:t>
      </w:r>
      <w:proofErr w:type="spellEnd"/>
    </w:p>
    <w:p w14:paraId="0B154A7C" w14:textId="77777777" w:rsidR="003E2202" w:rsidRPr="00F057AE" w:rsidRDefault="003E2202" w:rsidP="003E2202">
      <w:pPr>
        <w:rPr>
          <w:rFonts w:ascii="Arial" w:hAnsi="Arial" w:cs="Arial"/>
          <w:sz w:val="20"/>
          <w:szCs w:val="20"/>
        </w:rPr>
      </w:pPr>
    </w:p>
    <w:p w14:paraId="5BE74952" w14:textId="77777777" w:rsidR="003E2202" w:rsidRPr="003E2202" w:rsidRDefault="003E2202" w:rsidP="003E2202">
      <w:pPr>
        <w:ind w:left="1530" w:hanging="1530"/>
        <w:jc w:val="center"/>
        <w:rPr>
          <w:rFonts w:ascii="Arial" w:hAnsi="Arial" w:cs="Arial"/>
          <w:b/>
          <w:bCs/>
          <w:sz w:val="20"/>
          <w:szCs w:val="20"/>
        </w:rPr>
      </w:pPr>
      <w:r w:rsidRPr="003E2202">
        <w:rPr>
          <w:rFonts w:ascii="Arial" w:hAnsi="Arial" w:cs="Arial"/>
          <w:b/>
          <w:bCs/>
          <w:sz w:val="20"/>
          <w:szCs w:val="20"/>
        </w:rPr>
        <w:t>Evaluating Yield Response and the Return on Investment of Biological Seed Treatments</w:t>
      </w:r>
    </w:p>
    <w:p w14:paraId="3E41A8ED" w14:textId="77777777" w:rsidR="003E2202" w:rsidRPr="00F057AE" w:rsidRDefault="003E2202" w:rsidP="003E2202">
      <w:pPr>
        <w:rPr>
          <w:rFonts w:ascii="Arial" w:hAnsi="Arial" w:cs="Arial"/>
          <w:sz w:val="20"/>
          <w:szCs w:val="20"/>
        </w:rPr>
      </w:pPr>
    </w:p>
    <w:p w14:paraId="77FA6183" w14:textId="77777777" w:rsidR="003E2202" w:rsidRPr="00F057AE" w:rsidRDefault="003E2202" w:rsidP="003E2202">
      <w:pPr>
        <w:rPr>
          <w:rFonts w:ascii="Arial" w:hAnsi="Arial" w:cs="Arial"/>
          <w:b/>
          <w:sz w:val="20"/>
          <w:szCs w:val="20"/>
        </w:rPr>
      </w:pPr>
      <w:r w:rsidRPr="00F057AE">
        <w:rPr>
          <w:rFonts w:ascii="Arial" w:hAnsi="Arial" w:cs="Arial"/>
          <w:b/>
          <w:sz w:val="20"/>
          <w:szCs w:val="20"/>
        </w:rPr>
        <w:t>Objectives:</w:t>
      </w:r>
    </w:p>
    <w:p w14:paraId="5B7BE17D" w14:textId="77777777" w:rsidR="003E2202" w:rsidRPr="00F057AE" w:rsidRDefault="003E2202" w:rsidP="003E2202">
      <w:pPr>
        <w:rPr>
          <w:rFonts w:ascii="Arial" w:hAnsi="Arial" w:cs="Arial"/>
          <w:sz w:val="20"/>
          <w:szCs w:val="20"/>
        </w:rPr>
      </w:pPr>
    </w:p>
    <w:p w14:paraId="32494F09" w14:textId="77777777" w:rsidR="003E2202" w:rsidRPr="003E2202" w:rsidRDefault="003E2202" w:rsidP="003E2202">
      <w:pPr>
        <w:rPr>
          <w:rFonts w:ascii="Arial" w:hAnsi="Arial" w:cs="Arial"/>
          <w:sz w:val="20"/>
          <w:szCs w:val="20"/>
        </w:rPr>
      </w:pPr>
      <w:r w:rsidRPr="003E2202">
        <w:rPr>
          <w:rFonts w:ascii="Arial" w:hAnsi="Arial" w:cs="Arial"/>
          <w:sz w:val="20"/>
          <w:szCs w:val="20"/>
        </w:rPr>
        <w:t xml:space="preserve">1) Identify yield response in soybean to biological seed treatments (commonly marketed products). </w:t>
      </w:r>
    </w:p>
    <w:p w14:paraId="5B882177" w14:textId="77777777" w:rsidR="003E2202" w:rsidRPr="003E2202" w:rsidRDefault="003E2202" w:rsidP="003E2202">
      <w:pPr>
        <w:pStyle w:val="FirstParagraph"/>
        <w:spacing w:before="0" w:after="0"/>
        <w:rPr>
          <w:rFonts w:ascii="Arial" w:hAnsi="Arial" w:cs="Arial"/>
          <w:sz w:val="20"/>
          <w:szCs w:val="20"/>
        </w:rPr>
      </w:pPr>
      <w:r w:rsidRPr="003E2202">
        <w:rPr>
          <w:rFonts w:ascii="Arial" w:hAnsi="Arial" w:cs="Arial"/>
          <w:sz w:val="20"/>
          <w:szCs w:val="20"/>
        </w:rPr>
        <w:t>2) Conduct economic analyses on the value of these products.</w:t>
      </w:r>
    </w:p>
    <w:p w14:paraId="6FF9DEC1" w14:textId="1218C69D" w:rsidR="003E2202" w:rsidRPr="00F057AE" w:rsidRDefault="003E2202" w:rsidP="003E2202">
      <w:pPr>
        <w:pStyle w:val="FirstParagraph"/>
        <w:spacing w:before="0" w:after="0"/>
        <w:rPr>
          <w:rFonts w:ascii="Arial" w:hAnsi="Arial" w:cs="Arial"/>
          <w:sz w:val="20"/>
          <w:szCs w:val="20"/>
        </w:rPr>
      </w:pPr>
      <w:r w:rsidRPr="00F057AE">
        <w:rPr>
          <w:rFonts w:ascii="Arial" w:hAnsi="Arial" w:cs="Arial"/>
          <w:sz w:val="20"/>
          <w:szCs w:val="20"/>
        </w:rPr>
        <w:t xml:space="preserve">3) Extend the results to soybean growers using local and national extension networks.   </w:t>
      </w:r>
    </w:p>
    <w:p w14:paraId="5FE378EA" w14:textId="77777777" w:rsidR="003E2202" w:rsidRPr="00F057AE" w:rsidRDefault="003E2202" w:rsidP="003E2202">
      <w:pPr>
        <w:rPr>
          <w:rFonts w:ascii="Arial" w:hAnsi="Arial" w:cs="Arial"/>
          <w:sz w:val="20"/>
          <w:szCs w:val="20"/>
        </w:rPr>
      </w:pPr>
    </w:p>
    <w:p w14:paraId="5AB90289" w14:textId="4D9B01F6" w:rsidR="003E2202" w:rsidRPr="00F057AE" w:rsidRDefault="003E2202" w:rsidP="003E2202">
      <w:pPr>
        <w:rPr>
          <w:rFonts w:ascii="Arial" w:hAnsi="Arial" w:cs="Arial"/>
          <w:b/>
          <w:bCs/>
          <w:sz w:val="20"/>
          <w:szCs w:val="20"/>
        </w:rPr>
      </w:pPr>
      <w:r w:rsidRPr="00F057AE">
        <w:rPr>
          <w:rFonts w:ascii="Arial" w:hAnsi="Arial" w:cs="Arial"/>
          <w:b/>
          <w:bCs/>
          <w:sz w:val="20"/>
          <w:szCs w:val="20"/>
        </w:rPr>
        <w:t xml:space="preserve">Objective 1: </w:t>
      </w:r>
      <w:r w:rsidRPr="003E2202">
        <w:rPr>
          <w:rFonts w:ascii="Arial" w:hAnsi="Arial" w:cs="Arial"/>
          <w:b/>
          <w:bCs/>
          <w:sz w:val="20"/>
          <w:szCs w:val="20"/>
        </w:rPr>
        <w:t>Identify yield response in soybean to biological seed treatments</w:t>
      </w:r>
    </w:p>
    <w:p w14:paraId="7B79DE84" w14:textId="77777777" w:rsidR="003E2202" w:rsidRDefault="003E2202" w:rsidP="003E2202">
      <w:pPr>
        <w:rPr>
          <w:rFonts w:ascii="Arial" w:hAnsi="Arial" w:cs="Arial"/>
          <w:sz w:val="20"/>
          <w:szCs w:val="20"/>
        </w:rPr>
      </w:pPr>
    </w:p>
    <w:p w14:paraId="06A32A73" w14:textId="25D8654B" w:rsidR="003E2202" w:rsidRDefault="003E2202" w:rsidP="003E2202">
      <w:pPr>
        <w:rPr>
          <w:rFonts w:ascii="Arial" w:hAnsi="Arial" w:cs="Arial"/>
          <w:sz w:val="20"/>
          <w:szCs w:val="20"/>
        </w:rPr>
      </w:pPr>
      <w:r w:rsidRPr="00F057AE">
        <w:rPr>
          <w:rFonts w:ascii="Arial" w:hAnsi="Arial" w:cs="Arial"/>
          <w:sz w:val="20"/>
          <w:szCs w:val="20"/>
        </w:rPr>
        <w:t xml:space="preserve">In 2022, this study was performed at </w:t>
      </w:r>
      <w:r w:rsidR="00095FBD">
        <w:rPr>
          <w:rFonts w:ascii="Arial" w:hAnsi="Arial" w:cs="Arial"/>
          <w:sz w:val="20"/>
          <w:szCs w:val="20"/>
        </w:rPr>
        <w:t>5</w:t>
      </w:r>
      <w:r w:rsidRPr="00F057AE">
        <w:rPr>
          <w:rFonts w:ascii="Arial" w:hAnsi="Arial" w:cs="Arial"/>
          <w:sz w:val="20"/>
          <w:szCs w:val="20"/>
        </w:rPr>
        <w:t>0 locations in 1</w:t>
      </w:r>
      <w:r>
        <w:rPr>
          <w:rFonts w:ascii="Arial" w:hAnsi="Arial" w:cs="Arial"/>
          <w:sz w:val="20"/>
          <w:szCs w:val="20"/>
        </w:rPr>
        <w:t>7</w:t>
      </w:r>
      <w:r w:rsidRPr="00F057AE">
        <w:rPr>
          <w:rFonts w:ascii="Arial" w:hAnsi="Arial" w:cs="Arial"/>
          <w:sz w:val="20"/>
          <w:szCs w:val="20"/>
        </w:rPr>
        <w:t xml:space="preserve"> states with Dr. </w:t>
      </w:r>
      <w:r>
        <w:rPr>
          <w:rFonts w:ascii="Arial" w:hAnsi="Arial" w:cs="Arial"/>
          <w:sz w:val="20"/>
          <w:szCs w:val="20"/>
        </w:rPr>
        <w:t>Laura Lindsey of Ohio State University serving as Principal Investigator.</w:t>
      </w:r>
      <w:r w:rsidRPr="00F057AE">
        <w:rPr>
          <w:rFonts w:ascii="Arial" w:hAnsi="Arial" w:cs="Arial"/>
          <w:sz w:val="20"/>
          <w:szCs w:val="20"/>
        </w:rPr>
        <w:t xml:space="preserve">  </w:t>
      </w:r>
      <w:r>
        <w:rPr>
          <w:rFonts w:ascii="Arial" w:hAnsi="Arial" w:cs="Arial"/>
          <w:sz w:val="20"/>
          <w:szCs w:val="20"/>
        </w:rPr>
        <w:t>Nine commonly marketed biological seed treatment products from six companies were tested at all locations</w:t>
      </w:r>
      <w:r w:rsidR="00095FBD">
        <w:rPr>
          <w:rFonts w:ascii="Arial" w:hAnsi="Arial" w:cs="Arial"/>
          <w:sz w:val="20"/>
          <w:szCs w:val="20"/>
        </w:rPr>
        <w:t xml:space="preserve"> (Table 1).  Products were applied to soybean seed on top of existing seed treatments according to company-supplied protocols.</w:t>
      </w:r>
    </w:p>
    <w:p w14:paraId="7EDAACF7" w14:textId="27E76BB3" w:rsidR="00095FBD" w:rsidRDefault="00095FBD" w:rsidP="003E2202">
      <w:pPr>
        <w:rPr>
          <w:rFonts w:ascii="Arial" w:hAnsi="Arial" w:cs="Arial"/>
          <w:sz w:val="20"/>
          <w:szCs w:val="20"/>
        </w:rPr>
      </w:pPr>
    </w:p>
    <w:p w14:paraId="741B8C17" w14:textId="7D91EAA6" w:rsidR="00095FBD" w:rsidRPr="00095FBD" w:rsidRDefault="00095FBD" w:rsidP="003E2202">
      <w:pPr>
        <w:rPr>
          <w:rFonts w:ascii="Arial" w:hAnsi="Arial" w:cs="Arial"/>
          <w:sz w:val="18"/>
          <w:szCs w:val="18"/>
        </w:rPr>
      </w:pPr>
      <w:r w:rsidRPr="00095FBD">
        <w:rPr>
          <w:rFonts w:ascii="Arial" w:hAnsi="Arial" w:cs="Arial"/>
          <w:sz w:val="18"/>
          <w:szCs w:val="18"/>
        </w:rPr>
        <w:t>Table 1. A list of product names and corresponding microorganisms used in the 2022 national soybean study.</w:t>
      </w: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5"/>
        <w:gridCol w:w="1260"/>
        <w:gridCol w:w="1913"/>
        <w:gridCol w:w="5377"/>
      </w:tblGrid>
      <w:tr w:rsidR="00095FBD" w14:paraId="7A724D58" w14:textId="77777777" w:rsidTr="00095FBD">
        <w:trPr>
          <w:trHeight w:val="241"/>
        </w:trPr>
        <w:tc>
          <w:tcPr>
            <w:tcW w:w="1075" w:type="dxa"/>
          </w:tcPr>
          <w:p w14:paraId="488701B8" w14:textId="1EA70E30" w:rsidR="00095FBD" w:rsidRPr="00095FBD" w:rsidRDefault="00095FBD" w:rsidP="00B07BF1">
            <w:pPr>
              <w:pBdr>
                <w:top w:val="nil"/>
                <w:left w:val="nil"/>
                <w:bottom w:val="nil"/>
                <w:right w:val="nil"/>
                <w:between w:val="nil"/>
              </w:pBdr>
              <w:spacing w:after="160"/>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 xml:space="preserve">Treatment </w:t>
            </w:r>
          </w:p>
        </w:tc>
        <w:tc>
          <w:tcPr>
            <w:tcW w:w="1260" w:type="dxa"/>
          </w:tcPr>
          <w:p w14:paraId="7E59CD20" w14:textId="77777777" w:rsidR="00095FBD" w:rsidRPr="00095FBD" w:rsidRDefault="00095FBD" w:rsidP="00B07BF1">
            <w:pPr>
              <w:pBdr>
                <w:top w:val="nil"/>
                <w:left w:val="nil"/>
                <w:bottom w:val="nil"/>
                <w:right w:val="nil"/>
                <w:between w:val="nil"/>
              </w:pBdr>
              <w:spacing w:after="160"/>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Company</w:t>
            </w:r>
          </w:p>
        </w:tc>
        <w:tc>
          <w:tcPr>
            <w:tcW w:w="1913" w:type="dxa"/>
          </w:tcPr>
          <w:p w14:paraId="561F4A4C" w14:textId="77777777" w:rsidR="00095FBD" w:rsidRPr="00095FBD" w:rsidRDefault="00095FBD" w:rsidP="00B07BF1">
            <w:pPr>
              <w:pBdr>
                <w:top w:val="nil"/>
                <w:left w:val="nil"/>
                <w:bottom w:val="nil"/>
                <w:right w:val="nil"/>
                <w:between w:val="nil"/>
              </w:pBdr>
              <w:spacing w:after="160"/>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Product Name</w:t>
            </w:r>
          </w:p>
        </w:tc>
        <w:tc>
          <w:tcPr>
            <w:tcW w:w="5377" w:type="dxa"/>
          </w:tcPr>
          <w:p w14:paraId="09722140" w14:textId="77777777" w:rsidR="00095FBD" w:rsidRPr="00095FBD" w:rsidRDefault="00095FBD" w:rsidP="00B07BF1">
            <w:pPr>
              <w:pBdr>
                <w:top w:val="nil"/>
                <w:left w:val="nil"/>
                <w:bottom w:val="nil"/>
                <w:right w:val="nil"/>
                <w:between w:val="nil"/>
              </w:pBdr>
              <w:spacing w:after="160"/>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Microorganism</w:t>
            </w:r>
          </w:p>
        </w:tc>
      </w:tr>
      <w:tr w:rsidR="00095FBD" w14:paraId="5982DE62" w14:textId="77777777" w:rsidTr="00095FBD">
        <w:trPr>
          <w:trHeight w:val="241"/>
        </w:trPr>
        <w:tc>
          <w:tcPr>
            <w:tcW w:w="1075" w:type="dxa"/>
          </w:tcPr>
          <w:p w14:paraId="0E0E128C"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1</w:t>
            </w:r>
          </w:p>
        </w:tc>
        <w:tc>
          <w:tcPr>
            <w:tcW w:w="1260" w:type="dxa"/>
          </w:tcPr>
          <w:p w14:paraId="4CEA35C9"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Sunrise</w:t>
            </w:r>
          </w:p>
        </w:tc>
        <w:tc>
          <w:tcPr>
            <w:tcW w:w="1913" w:type="dxa"/>
          </w:tcPr>
          <w:p w14:paraId="501E514F"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proofErr w:type="spellStart"/>
            <w:r w:rsidRPr="00095FBD">
              <w:rPr>
                <w:rFonts w:ascii="Arial" w:eastAsia="Times New Roman" w:hAnsi="Arial" w:cs="Arial"/>
                <w:bCs/>
                <w:color w:val="000000"/>
                <w:sz w:val="16"/>
                <w:szCs w:val="16"/>
              </w:rPr>
              <w:t>BioBuild</w:t>
            </w:r>
            <w:proofErr w:type="spellEnd"/>
            <w:r w:rsidRPr="00095FBD">
              <w:rPr>
                <w:rFonts w:ascii="Arial" w:eastAsia="Times New Roman" w:hAnsi="Arial" w:cs="Arial"/>
                <w:bCs/>
                <w:color w:val="000000"/>
                <w:sz w:val="16"/>
                <w:szCs w:val="16"/>
              </w:rPr>
              <w:t>™ Soy Bio ST + R</w:t>
            </w:r>
          </w:p>
        </w:tc>
        <w:tc>
          <w:tcPr>
            <w:tcW w:w="5377" w:type="dxa"/>
          </w:tcPr>
          <w:p w14:paraId="3622361E"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proofErr w:type="spellStart"/>
            <w:r w:rsidRPr="00095FBD">
              <w:rPr>
                <w:rFonts w:ascii="Arial" w:eastAsia="Times New Roman" w:hAnsi="Arial" w:cs="Arial"/>
                <w:i/>
                <w:color w:val="000000"/>
                <w:sz w:val="16"/>
                <w:szCs w:val="16"/>
              </w:rPr>
              <w:t>Azospirillum</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brasiliensi</w:t>
            </w:r>
            <w:proofErr w:type="spellEnd"/>
            <w:r w:rsidRPr="00095FBD">
              <w:rPr>
                <w:rFonts w:ascii="Arial" w:eastAsia="Times New Roman" w:hAnsi="Arial" w:cs="Arial"/>
                <w:i/>
                <w:color w:val="000000"/>
                <w:sz w:val="16"/>
                <w:szCs w:val="16"/>
              </w:rPr>
              <w:t xml:space="preserve">, Bacillus licheniformis, B. </w:t>
            </w:r>
            <w:proofErr w:type="spellStart"/>
            <w:r w:rsidRPr="00095FBD">
              <w:rPr>
                <w:rFonts w:ascii="Arial" w:eastAsia="Times New Roman" w:hAnsi="Arial" w:cs="Arial"/>
                <w:i/>
                <w:color w:val="000000"/>
                <w:sz w:val="16"/>
                <w:szCs w:val="16"/>
              </w:rPr>
              <w:t>amyloliquefaciens</w:t>
            </w:r>
            <w:proofErr w:type="spellEnd"/>
            <w:r w:rsidRPr="00095FBD">
              <w:rPr>
                <w:rFonts w:ascii="Arial" w:eastAsia="Times New Roman" w:hAnsi="Arial" w:cs="Arial"/>
                <w:i/>
                <w:color w:val="000000"/>
                <w:sz w:val="16"/>
                <w:szCs w:val="16"/>
              </w:rPr>
              <w:t xml:space="preserve">, B. </w:t>
            </w:r>
            <w:proofErr w:type="spellStart"/>
            <w:r w:rsidRPr="00095FBD">
              <w:rPr>
                <w:rFonts w:ascii="Arial" w:eastAsia="Times New Roman" w:hAnsi="Arial" w:cs="Arial"/>
                <w:i/>
                <w:color w:val="000000"/>
                <w:sz w:val="16"/>
                <w:szCs w:val="16"/>
              </w:rPr>
              <w:t>subtillis</w:t>
            </w:r>
            <w:proofErr w:type="spellEnd"/>
            <w:r w:rsidRPr="00095FBD">
              <w:rPr>
                <w:rFonts w:ascii="Arial" w:eastAsia="Times New Roman" w:hAnsi="Arial" w:cs="Arial"/>
                <w:i/>
                <w:color w:val="000000"/>
                <w:sz w:val="16"/>
                <w:szCs w:val="16"/>
              </w:rPr>
              <w:t>, Pseudomonas fluorescens, Rhizobium</w:t>
            </w:r>
          </w:p>
        </w:tc>
      </w:tr>
      <w:tr w:rsidR="00095FBD" w14:paraId="30703D89" w14:textId="77777777" w:rsidTr="00095FBD">
        <w:trPr>
          <w:trHeight w:val="241"/>
        </w:trPr>
        <w:tc>
          <w:tcPr>
            <w:tcW w:w="1075" w:type="dxa"/>
          </w:tcPr>
          <w:p w14:paraId="0C9A4C5E"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2</w:t>
            </w:r>
          </w:p>
        </w:tc>
        <w:tc>
          <w:tcPr>
            <w:tcW w:w="1260" w:type="dxa"/>
          </w:tcPr>
          <w:p w14:paraId="167061CE"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ABM</w:t>
            </w:r>
          </w:p>
        </w:tc>
        <w:tc>
          <w:tcPr>
            <w:tcW w:w="1913" w:type="dxa"/>
          </w:tcPr>
          <w:p w14:paraId="7064E364"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proofErr w:type="spellStart"/>
            <w:r w:rsidRPr="00095FBD">
              <w:rPr>
                <w:rFonts w:ascii="Arial" w:eastAsia="Times New Roman" w:hAnsi="Arial" w:cs="Arial"/>
                <w:bCs/>
                <w:color w:val="000000"/>
                <w:sz w:val="16"/>
                <w:szCs w:val="16"/>
              </w:rPr>
              <w:t>SabrEx</w:t>
            </w:r>
            <w:proofErr w:type="spellEnd"/>
            <w:r w:rsidRPr="00095FBD">
              <w:rPr>
                <w:rFonts w:ascii="Arial" w:eastAsia="Times New Roman" w:hAnsi="Arial" w:cs="Arial"/>
                <w:bCs/>
                <w:color w:val="000000"/>
                <w:sz w:val="16"/>
                <w:szCs w:val="16"/>
              </w:rPr>
              <w:t>® Soybeans PB</w:t>
            </w:r>
          </w:p>
        </w:tc>
        <w:tc>
          <w:tcPr>
            <w:tcW w:w="5377" w:type="dxa"/>
          </w:tcPr>
          <w:p w14:paraId="69745F13"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Trichoderma virens</w:t>
            </w:r>
          </w:p>
        </w:tc>
      </w:tr>
      <w:tr w:rsidR="00095FBD" w14:paraId="4B646C3F" w14:textId="77777777" w:rsidTr="00095FBD">
        <w:trPr>
          <w:trHeight w:val="241"/>
        </w:trPr>
        <w:tc>
          <w:tcPr>
            <w:tcW w:w="1075" w:type="dxa"/>
          </w:tcPr>
          <w:p w14:paraId="5CF57E3E"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3</w:t>
            </w:r>
          </w:p>
        </w:tc>
        <w:tc>
          <w:tcPr>
            <w:tcW w:w="1260" w:type="dxa"/>
          </w:tcPr>
          <w:p w14:paraId="50F909AF"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ABM</w:t>
            </w:r>
          </w:p>
        </w:tc>
        <w:tc>
          <w:tcPr>
            <w:tcW w:w="1913" w:type="dxa"/>
          </w:tcPr>
          <w:p w14:paraId="7CF54D65"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Graph-Ex®</w:t>
            </w:r>
          </w:p>
        </w:tc>
        <w:tc>
          <w:tcPr>
            <w:tcW w:w="5377" w:type="dxa"/>
          </w:tcPr>
          <w:p w14:paraId="69A71F30"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Rhizobium</w:t>
            </w:r>
          </w:p>
        </w:tc>
      </w:tr>
      <w:tr w:rsidR="00095FBD" w14:paraId="2DBF1B50" w14:textId="77777777" w:rsidTr="00095FBD">
        <w:trPr>
          <w:trHeight w:val="241"/>
        </w:trPr>
        <w:tc>
          <w:tcPr>
            <w:tcW w:w="1075" w:type="dxa"/>
          </w:tcPr>
          <w:p w14:paraId="669997BC"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4</w:t>
            </w:r>
          </w:p>
        </w:tc>
        <w:tc>
          <w:tcPr>
            <w:tcW w:w="1260" w:type="dxa"/>
          </w:tcPr>
          <w:p w14:paraId="2D5EE1E3"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BASF</w:t>
            </w:r>
          </w:p>
        </w:tc>
        <w:tc>
          <w:tcPr>
            <w:tcW w:w="1913" w:type="dxa"/>
          </w:tcPr>
          <w:p w14:paraId="2C0C8C18"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Vault® IP Plus</w:t>
            </w:r>
          </w:p>
        </w:tc>
        <w:tc>
          <w:tcPr>
            <w:tcW w:w="5377" w:type="dxa"/>
          </w:tcPr>
          <w:p w14:paraId="78674B42"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 xml:space="preserve">Bacillus </w:t>
            </w:r>
            <w:proofErr w:type="spellStart"/>
            <w:r w:rsidRPr="00095FBD">
              <w:rPr>
                <w:rFonts w:ascii="Arial" w:eastAsia="Times New Roman" w:hAnsi="Arial" w:cs="Arial"/>
                <w:i/>
                <w:color w:val="000000"/>
                <w:sz w:val="16"/>
                <w:szCs w:val="16"/>
              </w:rPr>
              <w:t>subtillis</w:t>
            </w:r>
            <w:proofErr w:type="spellEnd"/>
            <w:r w:rsidRPr="00095FBD">
              <w:rPr>
                <w:rFonts w:ascii="Arial" w:eastAsia="Times New Roman" w:hAnsi="Arial" w:cs="Arial"/>
                <w:i/>
                <w:color w:val="000000"/>
                <w:sz w:val="16"/>
                <w:szCs w:val="16"/>
              </w:rPr>
              <w:t xml:space="preserve">, Bacillus </w:t>
            </w:r>
            <w:proofErr w:type="spellStart"/>
            <w:r w:rsidRPr="00095FBD">
              <w:rPr>
                <w:rFonts w:ascii="Arial" w:eastAsia="Times New Roman" w:hAnsi="Arial" w:cs="Arial"/>
                <w:i/>
                <w:color w:val="000000"/>
                <w:sz w:val="16"/>
                <w:szCs w:val="16"/>
              </w:rPr>
              <w:t>amyloliquefaciens</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Bradyrhizobium</w:t>
            </w:r>
            <w:proofErr w:type="spellEnd"/>
            <w:r w:rsidRPr="00095FBD">
              <w:rPr>
                <w:rFonts w:ascii="Arial" w:eastAsia="Times New Roman" w:hAnsi="Arial" w:cs="Arial"/>
                <w:i/>
                <w:color w:val="000000"/>
                <w:sz w:val="16"/>
                <w:szCs w:val="16"/>
              </w:rPr>
              <w:t xml:space="preserve"> japonicum</w:t>
            </w:r>
          </w:p>
        </w:tc>
      </w:tr>
      <w:tr w:rsidR="00095FBD" w14:paraId="07B98C28" w14:textId="77777777" w:rsidTr="00095FBD">
        <w:trPr>
          <w:trHeight w:val="241"/>
        </w:trPr>
        <w:tc>
          <w:tcPr>
            <w:tcW w:w="1075" w:type="dxa"/>
          </w:tcPr>
          <w:p w14:paraId="17879B1D"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5</w:t>
            </w:r>
          </w:p>
        </w:tc>
        <w:tc>
          <w:tcPr>
            <w:tcW w:w="1260" w:type="dxa"/>
          </w:tcPr>
          <w:p w14:paraId="48567336"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3Bar Biologicals</w:t>
            </w:r>
          </w:p>
        </w:tc>
        <w:tc>
          <w:tcPr>
            <w:tcW w:w="1913" w:type="dxa"/>
          </w:tcPr>
          <w:p w14:paraId="378EC9FE"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Bio-YIELD® ST</w:t>
            </w:r>
          </w:p>
        </w:tc>
        <w:tc>
          <w:tcPr>
            <w:tcW w:w="5377" w:type="dxa"/>
          </w:tcPr>
          <w:p w14:paraId="7BE7D3E9"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proofErr w:type="spellStart"/>
            <w:r w:rsidRPr="00095FBD">
              <w:rPr>
                <w:rFonts w:ascii="Arial" w:eastAsia="Times New Roman" w:hAnsi="Arial" w:cs="Arial"/>
                <w:i/>
                <w:color w:val="000000"/>
                <w:sz w:val="16"/>
                <w:szCs w:val="16"/>
              </w:rPr>
              <w:t>Pantoea</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agglomerans</w:t>
            </w:r>
            <w:proofErr w:type="spellEnd"/>
          </w:p>
        </w:tc>
      </w:tr>
      <w:tr w:rsidR="00095FBD" w14:paraId="6A932528" w14:textId="77777777" w:rsidTr="00095FBD">
        <w:trPr>
          <w:trHeight w:val="241"/>
        </w:trPr>
        <w:tc>
          <w:tcPr>
            <w:tcW w:w="1075" w:type="dxa"/>
          </w:tcPr>
          <w:p w14:paraId="74428D68"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6</w:t>
            </w:r>
          </w:p>
        </w:tc>
        <w:tc>
          <w:tcPr>
            <w:tcW w:w="1260" w:type="dxa"/>
          </w:tcPr>
          <w:p w14:paraId="3837B56F"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3Bar Biologicals</w:t>
            </w:r>
          </w:p>
        </w:tc>
        <w:tc>
          <w:tcPr>
            <w:tcW w:w="1913" w:type="dxa"/>
          </w:tcPr>
          <w:p w14:paraId="4C383778"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Bio-YIELD®</w:t>
            </w:r>
          </w:p>
        </w:tc>
        <w:tc>
          <w:tcPr>
            <w:tcW w:w="5377" w:type="dxa"/>
          </w:tcPr>
          <w:p w14:paraId="23B4CFC3"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 xml:space="preserve">Pseudomonas </w:t>
            </w:r>
            <w:proofErr w:type="spellStart"/>
            <w:r w:rsidRPr="00095FBD">
              <w:rPr>
                <w:rFonts w:ascii="Arial" w:eastAsia="Times New Roman" w:hAnsi="Arial" w:cs="Arial"/>
                <w:i/>
                <w:color w:val="000000"/>
                <w:sz w:val="16"/>
                <w:szCs w:val="16"/>
              </w:rPr>
              <w:t>brassicacerum</w:t>
            </w:r>
            <w:proofErr w:type="spellEnd"/>
          </w:p>
        </w:tc>
      </w:tr>
      <w:tr w:rsidR="00095FBD" w14:paraId="7BC5D1C4" w14:textId="77777777" w:rsidTr="00095FBD">
        <w:trPr>
          <w:trHeight w:val="241"/>
        </w:trPr>
        <w:tc>
          <w:tcPr>
            <w:tcW w:w="1075" w:type="dxa"/>
          </w:tcPr>
          <w:p w14:paraId="2A056E03"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7</w:t>
            </w:r>
          </w:p>
        </w:tc>
        <w:tc>
          <w:tcPr>
            <w:tcW w:w="1260" w:type="dxa"/>
          </w:tcPr>
          <w:p w14:paraId="2D5A33F2"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proofErr w:type="spellStart"/>
            <w:r w:rsidRPr="00095FBD">
              <w:rPr>
                <w:rFonts w:ascii="Arial" w:eastAsia="Times New Roman" w:hAnsi="Arial" w:cs="Arial"/>
                <w:color w:val="000000"/>
                <w:sz w:val="16"/>
                <w:szCs w:val="16"/>
              </w:rPr>
              <w:t>Lallemand</w:t>
            </w:r>
            <w:proofErr w:type="spellEnd"/>
          </w:p>
        </w:tc>
        <w:tc>
          <w:tcPr>
            <w:tcW w:w="1913" w:type="dxa"/>
          </w:tcPr>
          <w:p w14:paraId="78878FFF"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 xml:space="preserve">LAL FIX </w:t>
            </w:r>
            <w:proofErr w:type="spellStart"/>
            <w:r w:rsidRPr="00095FBD">
              <w:rPr>
                <w:rFonts w:ascii="Arial" w:eastAsia="Times New Roman" w:hAnsi="Arial" w:cs="Arial"/>
                <w:bCs/>
                <w:color w:val="000000"/>
                <w:sz w:val="16"/>
                <w:szCs w:val="16"/>
              </w:rPr>
              <w:t>Proyield</w:t>
            </w:r>
            <w:proofErr w:type="spellEnd"/>
            <w:r w:rsidRPr="00095FBD">
              <w:rPr>
                <w:rFonts w:ascii="Arial" w:eastAsia="Times New Roman" w:hAnsi="Arial" w:cs="Arial"/>
                <w:bCs/>
                <w:color w:val="000000"/>
                <w:sz w:val="16"/>
                <w:szCs w:val="16"/>
              </w:rPr>
              <w:t xml:space="preserve"> + LAL RISE Start SC</w:t>
            </w:r>
          </w:p>
        </w:tc>
        <w:tc>
          <w:tcPr>
            <w:tcW w:w="5377" w:type="dxa"/>
          </w:tcPr>
          <w:p w14:paraId="03AC159D"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proofErr w:type="spellStart"/>
            <w:r w:rsidRPr="00095FBD">
              <w:rPr>
                <w:rFonts w:ascii="Arial" w:eastAsia="Times New Roman" w:hAnsi="Arial" w:cs="Arial"/>
                <w:i/>
                <w:color w:val="000000"/>
                <w:sz w:val="16"/>
                <w:szCs w:val="16"/>
              </w:rPr>
              <w:t>Bradyrhizobium</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elkanii</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Delfia</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acidourarus</w:t>
            </w:r>
            <w:proofErr w:type="spellEnd"/>
            <w:r w:rsidRPr="00095FBD">
              <w:rPr>
                <w:rFonts w:ascii="Arial" w:eastAsia="Times New Roman" w:hAnsi="Arial" w:cs="Arial"/>
                <w:i/>
                <w:color w:val="000000"/>
                <w:sz w:val="16"/>
                <w:szCs w:val="16"/>
              </w:rPr>
              <w:t xml:space="preserve">; Bacillus </w:t>
            </w:r>
            <w:proofErr w:type="spellStart"/>
            <w:r w:rsidRPr="00095FBD">
              <w:rPr>
                <w:rFonts w:ascii="Arial" w:eastAsia="Times New Roman" w:hAnsi="Arial" w:cs="Arial"/>
                <w:i/>
                <w:color w:val="000000"/>
                <w:sz w:val="16"/>
                <w:szCs w:val="16"/>
              </w:rPr>
              <w:t>velenzensis</w:t>
            </w:r>
            <w:proofErr w:type="spellEnd"/>
          </w:p>
        </w:tc>
      </w:tr>
      <w:tr w:rsidR="00095FBD" w14:paraId="6121B134" w14:textId="77777777" w:rsidTr="00095FBD">
        <w:trPr>
          <w:trHeight w:val="241"/>
        </w:trPr>
        <w:tc>
          <w:tcPr>
            <w:tcW w:w="1075" w:type="dxa"/>
          </w:tcPr>
          <w:p w14:paraId="6F0D5312"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8</w:t>
            </w:r>
          </w:p>
        </w:tc>
        <w:tc>
          <w:tcPr>
            <w:tcW w:w="1260" w:type="dxa"/>
          </w:tcPr>
          <w:p w14:paraId="6D38D7F1"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proofErr w:type="spellStart"/>
            <w:r w:rsidRPr="00095FBD">
              <w:rPr>
                <w:rFonts w:ascii="Arial" w:eastAsia="Times New Roman" w:hAnsi="Arial" w:cs="Arial"/>
                <w:color w:val="000000"/>
                <w:sz w:val="16"/>
                <w:szCs w:val="16"/>
              </w:rPr>
              <w:t>Lallemand</w:t>
            </w:r>
            <w:proofErr w:type="spellEnd"/>
            <w:r w:rsidRPr="00095FBD">
              <w:rPr>
                <w:rFonts w:ascii="Arial" w:eastAsia="Times New Roman" w:hAnsi="Arial" w:cs="Arial"/>
                <w:color w:val="000000"/>
                <w:sz w:val="16"/>
                <w:szCs w:val="16"/>
              </w:rPr>
              <w:t xml:space="preserve"> + </w:t>
            </w:r>
            <w:proofErr w:type="spellStart"/>
            <w:r w:rsidRPr="00095FBD">
              <w:rPr>
                <w:rFonts w:ascii="Arial" w:eastAsia="Times New Roman" w:hAnsi="Arial" w:cs="Arial"/>
                <w:color w:val="000000"/>
                <w:sz w:val="16"/>
                <w:szCs w:val="16"/>
              </w:rPr>
              <w:t>Agrilead</w:t>
            </w:r>
            <w:proofErr w:type="spellEnd"/>
          </w:p>
        </w:tc>
        <w:tc>
          <w:tcPr>
            <w:tcW w:w="1913" w:type="dxa"/>
          </w:tcPr>
          <w:p w14:paraId="38C122E0"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Rise &amp; Shine</w:t>
            </w:r>
          </w:p>
        </w:tc>
        <w:tc>
          <w:tcPr>
            <w:tcW w:w="5377" w:type="dxa"/>
          </w:tcPr>
          <w:p w14:paraId="6463BB9F"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 xml:space="preserve">Bacillus </w:t>
            </w:r>
            <w:proofErr w:type="spellStart"/>
            <w:r w:rsidRPr="00095FBD">
              <w:rPr>
                <w:rFonts w:ascii="Arial" w:eastAsia="Times New Roman" w:hAnsi="Arial" w:cs="Arial"/>
                <w:i/>
                <w:color w:val="000000"/>
                <w:sz w:val="16"/>
                <w:szCs w:val="16"/>
              </w:rPr>
              <w:t>velenzensis</w:t>
            </w:r>
            <w:proofErr w:type="spellEnd"/>
          </w:p>
        </w:tc>
      </w:tr>
      <w:tr w:rsidR="00095FBD" w14:paraId="4900E6D9" w14:textId="77777777" w:rsidTr="00095FBD">
        <w:trPr>
          <w:trHeight w:val="241"/>
        </w:trPr>
        <w:tc>
          <w:tcPr>
            <w:tcW w:w="1075" w:type="dxa"/>
          </w:tcPr>
          <w:p w14:paraId="64980E0D"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9</w:t>
            </w:r>
          </w:p>
        </w:tc>
        <w:tc>
          <w:tcPr>
            <w:tcW w:w="1260" w:type="dxa"/>
          </w:tcPr>
          <w:p w14:paraId="385FF3B9"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Valent</w:t>
            </w:r>
          </w:p>
        </w:tc>
        <w:tc>
          <w:tcPr>
            <w:tcW w:w="1913" w:type="dxa"/>
          </w:tcPr>
          <w:p w14:paraId="5415C25E"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proofErr w:type="spellStart"/>
            <w:r w:rsidRPr="00095FBD">
              <w:rPr>
                <w:rFonts w:ascii="Arial" w:eastAsia="Times New Roman" w:hAnsi="Arial" w:cs="Arial"/>
                <w:bCs/>
                <w:color w:val="000000"/>
                <w:sz w:val="16"/>
                <w:szCs w:val="16"/>
              </w:rPr>
              <w:t>MycoApply</w:t>
            </w:r>
            <w:proofErr w:type="spellEnd"/>
            <w:r w:rsidRPr="00095FBD">
              <w:rPr>
                <w:rFonts w:ascii="Arial" w:eastAsia="Times New Roman" w:hAnsi="Arial" w:cs="Arial"/>
                <w:bCs/>
                <w:color w:val="000000"/>
                <w:sz w:val="16"/>
                <w:szCs w:val="16"/>
              </w:rPr>
              <w:t xml:space="preserve"> </w:t>
            </w:r>
            <w:proofErr w:type="spellStart"/>
            <w:r w:rsidRPr="00095FBD">
              <w:rPr>
                <w:rFonts w:ascii="Arial" w:eastAsia="Times New Roman" w:hAnsi="Arial" w:cs="Arial"/>
                <w:bCs/>
                <w:color w:val="000000"/>
                <w:sz w:val="16"/>
                <w:szCs w:val="16"/>
              </w:rPr>
              <w:t>EndoFuse</w:t>
            </w:r>
            <w:proofErr w:type="spellEnd"/>
          </w:p>
        </w:tc>
        <w:tc>
          <w:tcPr>
            <w:tcW w:w="5377" w:type="dxa"/>
          </w:tcPr>
          <w:p w14:paraId="61CE78E5"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 xml:space="preserve">Glomus </w:t>
            </w:r>
            <w:proofErr w:type="spellStart"/>
            <w:r w:rsidRPr="00095FBD">
              <w:rPr>
                <w:rFonts w:ascii="Arial" w:eastAsia="Times New Roman" w:hAnsi="Arial" w:cs="Arial"/>
                <w:i/>
                <w:color w:val="000000"/>
                <w:sz w:val="16"/>
                <w:szCs w:val="16"/>
              </w:rPr>
              <w:t>intraradices</w:t>
            </w:r>
            <w:proofErr w:type="spellEnd"/>
            <w:r w:rsidRPr="00095FBD">
              <w:rPr>
                <w:rFonts w:ascii="Arial" w:eastAsia="Times New Roman" w:hAnsi="Arial" w:cs="Arial"/>
                <w:i/>
                <w:color w:val="000000"/>
                <w:sz w:val="16"/>
                <w:szCs w:val="16"/>
              </w:rPr>
              <w:t xml:space="preserve">, G. </w:t>
            </w:r>
            <w:proofErr w:type="spellStart"/>
            <w:r w:rsidRPr="00095FBD">
              <w:rPr>
                <w:rFonts w:ascii="Arial" w:eastAsia="Times New Roman" w:hAnsi="Arial" w:cs="Arial"/>
                <w:i/>
                <w:color w:val="000000"/>
                <w:sz w:val="16"/>
                <w:szCs w:val="16"/>
              </w:rPr>
              <w:t>mosseae</w:t>
            </w:r>
            <w:proofErr w:type="spellEnd"/>
            <w:r w:rsidRPr="00095FBD">
              <w:rPr>
                <w:rFonts w:ascii="Arial" w:eastAsia="Times New Roman" w:hAnsi="Arial" w:cs="Arial"/>
                <w:i/>
                <w:color w:val="000000"/>
                <w:sz w:val="16"/>
                <w:szCs w:val="16"/>
              </w:rPr>
              <w:t xml:space="preserve">, G. aggregatum, G. </w:t>
            </w:r>
            <w:proofErr w:type="spellStart"/>
            <w:r w:rsidRPr="00095FBD">
              <w:rPr>
                <w:rFonts w:ascii="Arial" w:eastAsia="Times New Roman" w:hAnsi="Arial" w:cs="Arial"/>
                <w:i/>
                <w:color w:val="000000"/>
                <w:sz w:val="16"/>
                <w:szCs w:val="16"/>
              </w:rPr>
              <w:t>etunicatum</w:t>
            </w:r>
            <w:proofErr w:type="spellEnd"/>
          </w:p>
        </w:tc>
      </w:tr>
      <w:tr w:rsidR="00095FBD" w14:paraId="48AB50B0" w14:textId="77777777" w:rsidTr="00095FBD">
        <w:trPr>
          <w:trHeight w:val="241"/>
        </w:trPr>
        <w:tc>
          <w:tcPr>
            <w:tcW w:w="1075" w:type="dxa"/>
          </w:tcPr>
          <w:p w14:paraId="42A4DDC3"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10</w:t>
            </w:r>
          </w:p>
        </w:tc>
        <w:tc>
          <w:tcPr>
            <w:tcW w:w="1260" w:type="dxa"/>
          </w:tcPr>
          <w:p w14:paraId="49DC4DE4"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Control</w:t>
            </w:r>
          </w:p>
        </w:tc>
        <w:tc>
          <w:tcPr>
            <w:tcW w:w="1913" w:type="dxa"/>
          </w:tcPr>
          <w:p w14:paraId="23A50BAE"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Control</w:t>
            </w:r>
          </w:p>
        </w:tc>
        <w:tc>
          <w:tcPr>
            <w:tcW w:w="5377" w:type="dxa"/>
          </w:tcPr>
          <w:p w14:paraId="0DBDE29D" w14:textId="2B8946B4"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Pr>
                <w:rFonts w:ascii="Arial" w:eastAsia="Times New Roman" w:hAnsi="Arial" w:cs="Arial"/>
                <w:color w:val="000000"/>
                <w:sz w:val="16"/>
                <w:szCs w:val="16"/>
              </w:rPr>
              <w:t>None</w:t>
            </w:r>
          </w:p>
        </w:tc>
      </w:tr>
    </w:tbl>
    <w:p w14:paraId="447B4807" w14:textId="77777777" w:rsidR="00095FBD" w:rsidRPr="00F057AE" w:rsidRDefault="00095FBD" w:rsidP="003E2202">
      <w:pPr>
        <w:rPr>
          <w:rFonts w:ascii="Arial" w:hAnsi="Arial" w:cs="Arial"/>
          <w:sz w:val="20"/>
          <w:szCs w:val="20"/>
        </w:rPr>
      </w:pPr>
    </w:p>
    <w:p w14:paraId="67214CB5" w14:textId="73EE53F2" w:rsidR="003E2202" w:rsidRDefault="003E2202" w:rsidP="003E2202">
      <w:pPr>
        <w:rPr>
          <w:rFonts w:ascii="Arial" w:hAnsi="Arial" w:cs="Arial"/>
          <w:sz w:val="20"/>
          <w:szCs w:val="20"/>
        </w:rPr>
      </w:pPr>
      <w:r w:rsidRPr="00F057AE">
        <w:rPr>
          <w:rFonts w:ascii="Arial" w:hAnsi="Arial" w:cs="Arial"/>
          <w:sz w:val="20"/>
          <w:szCs w:val="20"/>
        </w:rPr>
        <w:t xml:space="preserve">In South Dakota, the studies were planted </w:t>
      </w:r>
      <w:r>
        <w:rPr>
          <w:rFonts w:ascii="Arial" w:hAnsi="Arial" w:cs="Arial"/>
          <w:sz w:val="20"/>
          <w:szCs w:val="20"/>
        </w:rPr>
        <w:t>at four locations: Bath, Brookings, Miller, and Renner.  P</w:t>
      </w:r>
      <w:r w:rsidRPr="00F057AE">
        <w:rPr>
          <w:rFonts w:ascii="Arial" w:hAnsi="Arial" w:cs="Arial"/>
          <w:sz w:val="20"/>
          <w:szCs w:val="20"/>
        </w:rPr>
        <w:t xml:space="preserve">lots were planted at </w:t>
      </w:r>
      <w:r>
        <w:rPr>
          <w:rFonts w:ascii="Arial" w:hAnsi="Arial" w:cs="Arial"/>
          <w:sz w:val="20"/>
          <w:szCs w:val="20"/>
        </w:rPr>
        <w:t>all</w:t>
      </w:r>
      <w:r w:rsidRPr="00F057AE">
        <w:rPr>
          <w:rFonts w:ascii="Arial" w:hAnsi="Arial" w:cs="Arial"/>
          <w:sz w:val="20"/>
          <w:szCs w:val="20"/>
        </w:rPr>
        <w:t xml:space="preserve"> locations </w:t>
      </w:r>
      <w:r>
        <w:rPr>
          <w:rFonts w:ascii="Arial" w:hAnsi="Arial" w:cs="Arial"/>
          <w:sz w:val="20"/>
          <w:szCs w:val="20"/>
        </w:rPr>
        <w:t xml:space="preserve">at normal planting dates </w:t>
      </w:r>
      <w:r w:rsidR="005E7E47">
        <w:rPr>
          <w:rFonts w:ascii="Arial" w:hAnsi="Arial" w:cs="Arial"/>
          <w:sz w:val="20"/>
          <w:szCs w:val="20"/>
        </w:rPr>
        <w:t>during the month of</w:t>
      </w:r>
      <w:r w:rsidRPr="00F057AE">
        <w:rPr>
          <w:rFonts w:ascii="Arial" w:hAnsi="Arial" w:cs="Arial"/>
          <w:sz w:val="20"/>
          <w:szCs w:val="20"/>
        </w:rPr>
        <w:t xml:space="preserve"> May.  </w:t>
      </w:r>
      <w:r>
        <w:rPr>
          <w:rFonts w:ascii="Arial" w:hAnsi="Arial" w:cs="Arial"/>
          <w:sz w:val="20"/>
          <w:szCs w:val="20"/>
        </w:rPr>
        <w:t>Baseline s</w:t>
      </w:r>
      <w:r w:rsidRPr="00F057AE">
        <w:rPr>
          <w:rFonts w:ascii="Arial" w:hAnsi="Arial" w:cs="Arial"/>
          <w:sz w:val="20"/>
          <w:szCs w:val="20"/>
        </w:rPr>
        <w:t xml:space="preserve">oil samples were collected </w:t>
      </w:r>
      <w:r>
        <w:rPr>
          <w:rFonts w:ascii="Arial" w:hAnsi="Arial" w:cs="Arial"/>
          <w:sz w:val="20"/>
          <w:szCs w:val="20"/>
        </w:rPr>
        <w:t>at planting time</w:t>
      </w:r>
      <w:r w:rsidRPr="00F057AE">
        <w:rPr>
          <w:rFonts w:ascii="Arial" w:hAnsi="Arial" w:cs="Arial"/>
          <w:sz w:val="20"/>
          <w:szCs w:val="20"/>
        </w:rPr>
        <w:t xml:space="preserve">.  </w:t>
      </w:r>
      <w:r>
        <w:rPr>
          <w:rFonts w:ascii="Arial" w:hAnsi="Arial" w:cs="Arial"/>
          <w:sz w:val="20"/>
          <w:szCs w:val="20"/>
        </w:rPr>
        <w:t>Stand counts were taken at the ~V3 growth stage</w:t>
      </w:r>
      <w:r w:rsidRPr="00F057AE">
        <w:rPr>
          <w:rFonts w:ascii="Arial" w:hAnsi="Arial" w:cs="Arial"/>
          <w:sz w:val="20"/>
          <w:szCs w:val="20"/>
        </w:rPr>
        <w:t xml:space="preserve">.  Plots were harvested with a Kincaid plot combine in October and grain samples will sent to </w:t>
      </w:r>
      <w:r>
        <w:rPr>
          <w:rFonts w:ascii="Arial" w:hAnsi="Arial" w:cs="Arial"/>
          <w:sz w:val="20"/>
          <w:szCs w:val="20"/>
        </w:rPr>
        <w:t>Ohio State University</w:t>
      </w:r>
      <w:r w:rsidRPr="00F057AE">
        <w:rPr>
          <w:rFonts w:ascii="Arial" w:hAnsi="Arial" w:cs="Arial"/>
          <w:sz w:val="20"/>
          <w:szCs w:val="20"/>
        </w:rPr>
        <w:t xml:space="preserve"> (c/o Dr. </w:t>
      </w:r>
      <w:r>
        <w:rPr>
          <w:rFonts w:ascii="Arial" w:hAnsi="Arial" w:cs="Arial"/>
          <w:sz w:val="20"/>
          <w:szCs w:val="20"/>
        </w:rPr>
        <w:t>Laura Lindsey</w:t>
      </w:r>
      <w:r w:rsidRPr="00F057AE">
        <w:rPr>
          <w:rFonts w:ascii="Arial" w:hAnsi="Arial" w:cs="Arial"/>
          <w:sz w:val="20"/>
          <w:szCs w:val="20"/>
        </w:rPr>
        <w:t xml:space="preserve">) for analysis.  </w:t>
      </w:r>
      <w:r w:rsidR="005E7E47">
        <w:rPr>
          <w:rFonts w:ascii="Arial" w:hAnsi="Arial" w:cs="Arial"/>
          <w:sz w:val="20"/>
          <w:szCs w:val="20"/>
        </w:rPr>
        <w:t>There were no significant differences in stand counts between treatments for 1) individual locations or 2) when analyzed together.  The only location in SD that had yield treatment differences was Renner (Figure 1) and, when analysis was done with combined locations, there were no treatment differences (Figure 2).</w:t>
      </w:r>
      <w:r w:rsidR="00141ACD">
        <w:rPr>
          <w:rFonts w:ascii="Arial" w:hAnsi="Arial" w:cs="Arial"/>
          <w:sz w:val="20"/>
          <w:szCs w:val="20"/>
        </w:rPr>
        <w:t xml:space="preserve">  Although Renner had yield differences, none of the treatments were significantly different than the untreated control. </w:t>
      </w:r>
    </w:p>
    <w:p w14:paraId="39CFE77A" w14:textId="27A1FF99" w:rsidR="005E7E47" w:rsidRDefault="005E7E47" w:rsidP="003E2202">
      <w:pPr>
        <w:rPr>
          <w:rFonts w:ascii="Arial" w:hAnsi="Arial" w:cs="Arial"/>
          <w:sz w:val="20"/>
          <w:szCs w:val="20"/>
        </w:rPr>
      </w:pPr>
    </w:p>
    <w:p w14:paraId="0388ADCC" w14:textId="56F572EC" w:rsidR="003E2202" w:rsidRDefault="005E7E47" w:rsidP="003E2202">
      <w:pPr>
        <w:rPr>
          <w:rFonts w:ascii="Arial" w:hAnsi="Arial" w:cs="Arial"/>
          <w:sz w:val="20"/>
          <w:szCs w:val="20"/>
        </w:rPr>
      </w:pPr>
      <w:r w:rsidRPr="005E7E47">
        <w:rPr>
          <w:rFonts w:ascii="Arial" w:hAnsi="Arial" w:cs="Arial"/>
          <w:noProof/>
          <w:sz w:val="20"/>
          <w:szCs w:val="20"/>
        </w:rPr>
        <w:lastRenderedPageBreak/>
        <w:drawing>
          <wp:inline distT="0" distB="0" distL="0" distR="0" wp14:anchorId="7CD633D5" wp14:editId="33C909A6">
            <wp:extent cx="5943600" cy="3504565"/>
            <wp:effectExtent l="12700" t="12700" r="12700" b="13335"/>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pic:nvPicPr>
                  <pic:blipFill>
                    <a:blip r:embed="rId4"/>
                    <a:stretch>
                      <a:fillRect/>
                    </a:stretch>
                  </pic:blipFill>
                  <pic:spPr>
                    <a:xfrm>
                      <a:off x="0" y="0"/>
                      <a:ext cx="5943600" cy="3504565"/>
                    </a:xfrm>
                    <a:prstGeom prst="rect">
                      <a:avLst/>
                    </a:prstGeom>
                    <a:ln>
                      <a:solidFill>
                        <a:schemeClr val="tx1"/>
                      </a:solidFill>
                    </a:ln>
                  </pic:spPr>
                </pic:pic>
              </a:graphicData>
            </a:graphic>
          </wp:inline>
        </w:drawing>
      </w:r>
      <w:r>
        <w:rPr>
          <w:rFonts w:ascii="Arial" w:hAnsi="Arial" w:cs="Arial"/>
          <w:sz w:val="20"/>
          <w:szCs w:val="20"/>
        </w:rPr>
        <w:t>Figure 1. A boxplot showing median yields and distributions for biological seed treatments for the Renner location.  Note: Treatment 10 is the untreated control.</w:t>
      </w:r>
    </w:p>
    <w:p w14:paraId="2146A699" w14:textId="2E71ED69" w:rsidR="005E7E47" w:rsidRDefault="005E7E47" w:rsidP="003E2202">
      <w:pPr>
        <w:rPr>
          <w:rFonts w:ascii="Arial" w:hAnsi="Arial" w:cs="Arial"/>
          <w:sz w:val="20"/>
          <w:szCs w:val="20"/>
        </w:rPr>
      </w:pPr>
    </w:p>
    <w:p w14:paraId="63ADA6F7" w14:textId="70DF5B6C" w:rsidR="005E7E47" w:rsidRPr="00F057AE" w:rsidRDefault="00141ACD" w:rsidP="003E2202">
      <w:pPr>
        <w:rPr>
          <w:rFonts w:ascii="Arial" w:hAnsi="Arial" w:cs="Arial"/>
          <w:sz w:val="20"/>
          <w:szCs w:val="20"/>
        </w:rPr>
      </w:pPr>
      <w:r w:rsidRPr="00141ACD">
        <w:rPr>
          <w:rFonts w:ascii="Arial" w:hAnsi="Arial" w:cs="Arial"/>
          <w:noProof/>
          <w:sz w:val="20"/>
          <w:szCs w:val="20"/>
        </w:rPr>
        <w:drawing>
          <wp:inline distT="0" distB="0" distL="0" distR="0" wp14:anchorId="43C32A6E" wp14:editId="2C7401B5">
            <wp:extent cx="5943600" cy="3628390"/>
            <wp:effectExtent l="12700" t="12700" r="12700" b="16510"/>
            <wp:docPr id="4" name="Picture 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ox and whisker chart&#10;&#10;Description automatically generated"/>
                    <pic:cNvPicPr/>
                  </pic:nvPicPr>
                  <pic:blipFill>
                    <a:blip r:embed="rId5"/>
                    <a:stretch>
                      <a:fillRect/>
                    </a:stretch>
                  </pic:blipFill>
                  <pic:spPr>
                    <a:xfrm>
                      <a:off x="0" y="0"/>
                      <a:ext cx="5943600" cy="3628390"/>
                    </a:xfrm>
                    <a:prstGeom prst="rect">
                      <a:avLst/>
                    </a:prstGeom>
                    <a:ln>
                      <a:solidFill>
                        <a:schemeClr val="tx1"/>
                      </a:solidFill>
                    </a:ln>
                  </pic:spPr>
                </pic:pic>
              </a:graphicData>
            </a:graphic>
          </wp:inline>
        </w:drawing>
      </w:r>
    </w:p>
    <w:p w14:paraId="2E7D046A" w14:textId="5D75157D" w:rsidR="00141ACD" w:rsidRPr="00141ACD" w:rsidRDefault="00141ACD" w:rsidP="003E2202">
      <w:pPr>
        <w:pStyle w:val="FirstParagraph"/>
        <w:spacing w:before="0" w:after="0"/>
        <w:rPr>
          <w:rFonts w:ascii="Arial" w:hAnsi="Arial" w:cs="Arial"/>
          <w:sz w:val="20"/>
          <w:szCs w:val="20"/>
        </w:rPr>
      </w:pPr>
      <w:r>
        <w:rPr>
          <w:rFonts w:ascii="Arial" w:hAnsi="Arial" w:cs="Arial"/>
          <w:sz w:val="20"/>
          <w:szCs w:val="20"/>
        </w:rPr>
        <w:t>Figure 2. A boxplot showing median yields and distributions for biological seed treatments for combined SD locations (Bath, Brookings, Miller, and Renner).  Note: Treatment 10 is the untreated control.</w:t>
      </w:r>
    </w:p>
    <w:p w14:paraId="7F6F24EF" w14:textId="6FC64BC0" w:rsidR="00141ACD" w:rsidRDefault="00141ACD" w:rsidP="003E2202">
      <w:pPr>
        <w:pStyle w:val="FirstParagraph"/>
        <w:spacing w:before="0" w:after="0"/>
        <w:rPr>
          <w:rFonts w:ascii="Arial" w:hAnsi="Arial" w:cs="Arial"/>
          <w:sz w:val="20"/>
          <w:szCs w:val="20"/>
        </w:rPr>
      </w:pPr>
    </w:p>
    <w:p w14:paraId="255501CF" w14:textId="3FA0594C" w:rsidR="00141ACD" w:rsidRPr="00141ACD" w:rsidRDefault="00141ACD" w:rsidP="00141ACD">
      <w:pPr>
        <w:pStyle w:val="BodyText"/>
        <w:rPr>
          <w:rFonts w:ascii="Arial" w:hAnsi="Arial" w:cs="Arial"/>
          <w:sz w:val="20"/>
          <w:szCs w:val="20"/>
        </w:rPr>
      </w:pPr>
      <w:r w:rsidRPr="00141ACD">
        <w:rPr>
          <w:rFonts w:ascii="Arial" w:hAnsi="Arial" w:cs="Arial"/>
          <w:sz w:val="20"/>
          <w:szCs w:val="20"/>
        </w:rPr>
        <w:lastRenderedPageBreak/>
        <w:t>At time of this report,</w:t>
      </w:r>
      <w:r>
        <w:rPr>
          <w:rFonts w:ascii="Arial" w:hAnsi="Arial" w:cs="Arial"/>
          <w:sz w:val="20"/>
          <w:szCs w:val="20"/>
        </w:rPr>
        <w:t xml:space="preserve"> 41 of the 50 locations from 13 states had been analyzed.  Only four locations out of the 41 reported (Renner, SD and three sites in Wisconsin) showed significant differences between treatments.  While results are preliminary, data suggests that response to biological seed treatments in soybeans is unlikely.  Continued research will provide a better understanding of environmental conditions that may contribute to success with biological products.</w:t>
      </w:r>
    </w:p>
    <w:p w14:paraId="2D80301F" w14:textId="0D1F28DC" w:rsidR="003E2202" w:rsidRPr="00F057AE" w:rsidRDefault="003E2202" w:rsidP="003E2202">
      <w:pPr>
        <w:pStyle w:val="FirstParagraph"/>
        <w:spacing w:before="0" w:after="0"/>
        <w:rPr>
          <w:rFonts w:ascii="Arial" w:hAnsi="Arial" w:cs="Arial"/>
          <w:b/>
          <w:bCs/>
          <w:sz w:val="20"/>
          <w:szCs w:val="20"/>
        </w:rPr>
      </w:pPr>
      <w:r w:rsidRPr="00F057AE">
        <w:rPr>
          <w:rFonts w:ascii="Arial" w:hAnsi="Arial" w:cs="Arial"/>
          <w:b/>
          <w:bCs/>
          <w:sz w:val="20"/>
          <w:szCs w:val="20"/>
        </w:rPr>
        <w:t xml:space="preserve">Objective 2: </w:t>
      </w:r>
      <w:r w:rsidRPr="003E2202">
        <w:rPr>
          <w:rFonts w:ascii="Arial" w:hAnsi="Arial" w:cs="Arial"/>
          <w:b/>
          <w:bCs/>
          <w:sz w:val="20"/>
          <w:szCs w:val="20"/>
        </w:rPr>
        <w:t>Conduct economic analyses on the value of these products.</w:t>
      </w:r>
    </w:p>
    <w:p w14:paraId="1FADDDA1" w14:textId="6C1C3A55" w:rsidR="003E2202" w:rsidRDefault="003E2202" w:rsidP="003E2202">
      <w:pPr>
        <w:rPr>
          <w:rFonts w:ascii="Arial" w:hAnsi="Arial" w:cs="Arial"/>
          <w:bCs/>
          <w:sz w:val="20"/>
          <w:szCs w:val="20"/>
        </w:rPr>
      </w:pPr>
    </w:p>
    <w:p w14:paraId="11F6CEB6" w14:textId="4E35F34B" w:rsidR="003E2202" w:rsidRPr="003E2202" w:rsidRDefault="00482C9D" w:rsidP="003E2202">
      <w:pPr>
        <w:rPr>
          <w:rFonts w:ascii="Arial" w:hAnsi="Arial" w:cs="Arial"/>
          <w:bCs/>
          <w:sz w:val="20"/>
          <w:szCs w:val="20"/>
        </w:rPr>
      </w:pPr>
      <w:r>
        <w:rPr>
          <w:rFonts w:ascii="Arial" w:hAnsi="Arial" w:cs="Arial"/>
          <w:bCs/>
          <w:sz w:val="20"/>
          <w:szCs w:val="20"/>
        </w:rPr>
        <w:t>As discussed in the Objective 1 results, preliminary results show that yield response to the biological treatments in this trial are unlikely and, when they do occur, hard to predict</w:t>
      </w:r>
      <w:r w:rsidR="003E2202">
        <w:rPr>
          <w:rFonts w:ascii="Arial" w:hAnsi="Arial" w:cs="Arial"/>
          <w:bCs/>
          <w:sz w:val="20"/>
          <w:szCs w:val="20"/>
        </w:rPr>
        <w:t xml:space="preserve">.  It is </w:t>
      </w:r>
      <w:r>
        <w:rPr>
          <w:rFonts w:ascii="Arial" w:hAnsi="Arial" w:cs="Arial"/>
          <w:bCs/>
          <w:sz w:val="20"/>
          <w:szCs w:val="20"/>
        </w:rPr>
        <w:t xml:space="preserve">therefore highly </w:t>
      </w:r>
      <w:r w:rsidR="003E2202">
        <w:rPr>
          <w:rFonts w:ascii="Arial" w:hAnsi="Arial" w:cs="Arial"/>
          <w:bCs/>
          <w:sz w:val="20"/>
          <w:szCs w:val="20"/>
        </w:rPr>
        <w:t>unlikely that any of the products will be found to be economically viable.</w:t>
      </w:r>
      <w:r>
        <w:rPr>
          <w:rFonts w:ascii="Arial" w:hAnsi="Arial" w:cs="Arial"/>
          <w:bCs/>
          <w:sz w:val="20"/>
          <w:szCs w:val="20"/>
        </w:rPr>
        <w:t xml:space="preserve">  If a realistic economic analysis can be performed, it will occur following the national summary.</w:t>
      </w:r>
    </w:p>
    <w:p w14:paraId="34A540C9" w14:textId="42B3205B" w:rsidR="003E2202" w:rsidRDefault="003E2202" w:rsidP="003E2202">
      <w:pPr>
        <w:rPr>
          <w:rFonts w:ascii="Arial" w:hAnsi="Arial" w:cs="Arial"/>
          <w:bCs/>
          <w:sz w:val="20"/>
          <w:szCs w:val="20"/>
        </w:rPr>
      </w:pPr>
    </w:p>
    <w:p w14:paraId="6CED2BE1" w14:textId="77777777" w:rsidR="003E2202" w:rsidRPr="003E2202" w:rsidRDefault="003E2202" w:rsidP="003E2202">
      <w:pPr>
        <w:rPr>
          <w:rFonts w:ascii="Arial" w:hAnsi="Arial" w:cs="Arial"/>
          <w:bCs/>
          <w:sz w:val="20"/>
          <w:szCs w:val="20"/>
        </w:rPr>
      </w:pPr>
    </w:p>
    <w:p w14:paraId="32481910" w14:textId="5EB747B5" w:rsidR="003E2202" w:rsidRPr="00F057AE" w:rsidRDefault="003E2202" w:rsidP="003E2202">
      <w:pPr>
        <w:rPr>
          <w:rFonts w:ascii="Arial" w:hAnsi="Arial" w:cs="Arial"/>
          <w:b/>
          <w:sz w:val="20"/>
          <w:szCs w:val="20"/>
        </w:rPr>
      </w:pPr>
      <w:r w:rsidRPr="00F057AE">
        <w:rPr>
          <w:rFonts w:ascii="Arial" w:hAnsi="Arial" w:cs="Arial"/>
          <w:b/>
          <w:sz w:val="20"/>
          <w:szCs w:val="20"/>
        </w:rPr>
        <w:t>Objective 3. Extend results to soybean growers through extension networks.</w:t>
      </w:r>
    </w:p>
    <w:p w14:paraId="12F653FB" w14:textId="77777777" w:rsidR="003E2202" w:rsidRPr="00F057AE" w:rsidRDefault="003E2202" w:rsidP="003E2202">
      <w:pPr>
        <w:rPr>
          <w:rFonts w:ascii="Arial" w:hAnsi="Arial" w:cs="Arial"/>
          <w:sz w:val="20"/>
          <w:szCs w:val="20"/>
        </w:rPr>
      </w:pPr>
    </w:p>
    <w:p w14:paraId="0F007D82" w14:textId="0E4CB7CC" w:rsidR="003E2202" w:rsidRPr="00F057AE" w:rsidRDefault="00482C9D" w:rsidP="003E2202">
      <w:pPr>
        <w:rPr>
          <w:rFonts w:ascii="Arial" w:hAnsi="Arial" w:cs="Arial"/>
          <w:sz w:val="20"/>
          <w:szCs w:val="20"/>
        </w:rPr>
      </w:pPr>
      <w:r>
        <w:rPr>
          <w:rFonts w:ascii="Arial" w:hAnsi="Arial" w:cs="Arial"/>
          <w:sz w:val="20"/>
          <w:szCs w:val="20"/>
        </w:rPr>
        <w:t>I discuss</w:t>
      </w:r>
      <w:r w:rsidR="00BB7FD2">
        <w:rPr>
          <w:rFonts w:ascii="Arial" w:hAnsi="Arial" w:cs="Arial"/>
          <w:sz w:val="20"/>
          <w:szCs w:val="20"/>
        </w:rPr>
        <w:t>ed</w:t>
      </w:r>
      <w:r>
        <w:rPr>
          <w:rFonts w:ascii="Arial" w:hAnsi="Arial" w:cs="Arial"/>
          <w:sz w:val="20"/>
          <w:szCs w:val="20"/>
        </w:rPr>
        <w:t xml:space="preserve"> the results of the trial during the SDSU </w:t>
      </w:r>
      <w:r w:rsidR="00BB7FD2">
        <w:rPr>
          <w:rFonts w:ascii="Arial" w:hAnsi="Arial" w:cs="Arial"/>
          <w:sz w:val="20"/>
          <w:szCs w:val="20"/>
        </w:rPr>
        <w:t>E</w:t>
      </w:r>
      <w:r w:rsidR="00B66FA3">
        <w:rPr>
          <w:rFonts w:ascii="Arial" w:hAnsi="Arial" w:cs="Arial"/>
          <w:sz w:val="20"/>
          <w:szCs w:val="20"/>
        </w:rPr>
        <w:t xml:space="preserve">xtension </w:t>
      </w:r>
      <w:r>
        <w:rPr>
          <w:rFonts w:ascii="Arial" w:hAnsi="Arial" w:cs="Arial"/>
          <w:sz w:val="20"/>
          <w:szCs w:val="20"/>
        </w:rPr>
        <w:t>soybean crop hour on 2/1/2023</w:t>
      </w:r>
      <w:r w:rsidR="00BB7FD2">
        <w:rPr>
          <w:rFonts w:ascii="Arial" w:hAnsi="Arial" w:cs="Arial"/>
          <w:sz w:val="20"/>
          <w:szCs w:val="20"/>
        </w:rPr>
        <w:t xml:space="preserve"> (</w:t>
      </w:r>
      <w:hyperlink r:id="rId6" w:history="1">
        <w:r w:rsidR="00BB7FD2" w:rsidRPr="00BB7FD2">
          <w:rPr>
            <w:rStyle w:val="Hyperlink"/>
            <w:rFonts w:ascii="Arial" w:hAnsi="Arial" w:cs="Arial"/>
            <w:sz w:val="20"/>
            <w:szCs w:val="20"/>
          </w:rPr>
          <w:t>web link</w:t>
        </w:r>
      </w:hyperlink>
      <w:r w:rsidR="00BB7FD2">
        <w:rPr>
          <w:rFonts w:ascii="Arial" w:hAnsi="Arial" w:cs="Arial"/>
          <w:sz w:val="20"/>
          <w:szCs w:val="20"/>
        </w:rPr>
        <w:t>) and the SD CCA meeting at McCrory Gardens on 3/24/23.</w:t>
      </w:r>
      <w:r>
        <w:rPr>
          <w:rFonts w:ascii="Arial" w:hAnsi="Arial" w:cs="Arial"/>
          <w:sz w:val="20"/>
          <w:szCs w:val="20"/>
        </w:rPr>
        <w:t xml:space="preserve"> </w:t>
      </w:r>
      <w:r w:rsidR="00BB7FD2">
        <w:rPr>
          <w:rFonts w:ascii="Arial" w:hAnsi="Arial" w:cs="Arial"/>
          <w:sz w:val="20"/>
          <w:szCs w:val="20"/>
        </w:rPr>
        <w:t xml:space="preserve"> I was also invited to a private seed dealer’s customer meeting to discuss the results of the trial in Milbank, SD on 3/14/23.  I will schedule a radio interview to discuss the research with SDSU extension radio during the spring of 2023.  I</w:t>
      </w:r>
      <w:r>
        <w:rPr>
          <w:rFonts w:ascii="Arial" w:hAnsi="Arial" w:cs="Arial"/>
          <w:sz w:val="20"/>
          <w:szCs w:val="20"/>
        </w:rPr>
        <w:t xml:space="preserve"> plan to write a brief article/fact sheet discussing the </w:t>
      </w:r>
      <w:r w:rsidR="00BB7FD2">
        <w:rPr>
          <w:rFonts w:ascii="Arial" w:hAnsi="Arial" w:cs="Arial"/>
          <w:sz w:val="20"/>
          <w:szCs w:val="20"/>
        </w:rPr>
        <w:t xml:space="preserve">combined </w:t>
      </w:r>
      <w:r>
        <w:rPr>
          <w:rFonts w:ascii="Arial" w:hAnsi="Arial" w:cs="Arial"/>
          <w:sz w:val="20"/>
          <w:szCs w:val="20"/>
        </w:rPr>
        <w:t>202</w:t>
      </w:r>
      <w:r w:rsidR="00BB7FD2">
        <w:rPr>
          <w:rFonts w:ascii="Arial" w:hAnsi="Arial" w:cs="Arial"/>
          <w:sz w:val="20"/>
          <w:szCs w:val="20"/>
        </w:rPr>
        <w:t>2-2023</w:t>
      </w:r>
      <w:r>
        <w:rPr>
          <w:rFonts w:ascii="Arial" w:hAnsi="Arial" w:cs="Arial"/>
          <w:sz w:val="20"/>
          <w:szCs w:val="20"/>
        </w:rPr>
        <w:t xml:space="preserve"> results on the </w:t>
      </w:r>
      <w:r w:rsidR="009B4E54">
        <w:rPr>
          <w:rFonts w:ascii="Arial" w:hAnsi="Arial" w:cs="Arial"/>
          <w:sz w:val="20"/>
          <w:szCs w:val="20"/>
        </w:rPr>
        <w:t>SDSU extension</w:t>
      </w:r>
      <w:r>
        <w:rPr>
          <w:rFonts w:ascii="Arial" w:hAnsi="Arial" w:cs="Arial"/>
          <w:sz w:val="20"/>
          <w:szCs w:val="20"/>
        </w:rPr>
        <w:t xml:space="preserve"> website.  </w:t>
      </w:r>
      <w:r w:rsidR="003E2202" w:rsidRPr="00F057AE">
        <w:rPr>
          <w:rFonts w:ascii="Arial" w:hAnsi="Arial" w:cs="Arial"/>
          <w:sz w:val="20"/>
          <w:szCs w:val="20"/>
        </w:rPr>
        <w:t xml:space="preserve">A national summary fact sheet </w:t>
      </w:r>
      <w:r w:rsidR="003E2202">
        <w:rPr>
          <w:rFonts w:ascii="Arial" w:hAnsi="Arial" w:cs="Arial"/>
          <w:sz w:val="20"/>
          <w:szCs w:val="20"/>
        </w:rPr>
        <w:t xml:space="preserve">and peer-reviewed journal article </w:t>
      </w:r>
      <w:r w:rsidR="003E2202" w:rsidRPr="00F057AE">
        <w:rPr>
          <w:rFonts w:ascii="Arial" w:hAnsi="Arial" w:cs="Arial"/>
          <w:sz w:val="20"/>
          <w:szCs w:val="20"/>
        </w:rPr>
        <w:t>will be published for the study</w:t>
      </w:r>
      <w:r w:rsidR="003E2202">
        <w:rPr>
          <w:rFonts w:ascii="Arial" w:hAnsi="Arial" w:cs="Arial"/>
          <w:sz w:val="20"/>
          <w:szCs w:val="20"/>
        </w:rPr>
        <w:t xml:space="preserve"> at a future date</w:t>
      </w:r>
      <w:r>
        <w:rPr>
          <w:rFonts w:ascii="Arial" w:hAnsi="Arial" w:cs="Arial"/>
          <w:sz w:val="20"/>
          <w:szCs w:val="20"/>
        </w:rPr>
        <w:t xml:space="preserve"> (2024)</w:t>
      </w:r>
      <w:r w:rsidR="003E2202" w:rsidRPr="00F057AE">
        <w:rPr>
          <w:rFonts w:ascii="Arial" w:hAnsi="Arial" w:cs="Arial"/>
          <w:sz w:val="20"/>
          <w:szCs w:val="20"/>
        </w:rPr>
        <w:t>.</w:t>
      </w:r>
    </w:p>
    <w:p w14:paraId="6B28858A" w14:textId="77777777" w:rsidR="00E80328" w:rsidRDefault="00E80328"/>
    <w:sectPr w:rsidR="00E803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202"/>
    <w:rsid w:val="000600D4"/>
    <w:rsid w:val="00095698"/>
    <w:rsid w:val="00095FBD"/>
    <w:rsid w:val="000E652E"/>
    <w:rsid w:val="00141ACD"/>
    <w:rsid w:val="00305A7E"/>
    <w:rsid w:val="003E2202"/>
    <w:rsid w:val="00482C9D"/>
    <w:rsid w:val="005E7E47"/>
    <w:rsid w:val="009B08E4"/>
    <w:rsid w:val="009B4E54"/>
    <w:rsid w:val="00B66FA3"/>
    <w:rsid w:val="00BB7FD2"/>
    <w:rsid w:val="00E80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4050A2"/>
  <w15:chartTrackingRefBased/>
  <w15:docId w15:val="{75F42CFB-5330-A547-90BF-2FB5C995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2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 Paragraph"/>
    <w:basedOn w:val="BodyText"/>
    <w:next w:val="BodyText"/>
    <w:qFormat/>
    <w:rsid w:val="003E2202"/>
    <w:pPr>
      <w:spacing w:before="180" w:after="180"/>
    </w:pPr>
  </w:style>
  <w:style w:type="paragraph" w:styleId="NormalWeb">
    <w:name w:val="Normal (Web)"/>
    <w:basedOn w:val="Normal"/>
    <w:uiPriority w:val="99"/>
    <w:unhideWhenUsed/>
    <w:rsid w:val="003E2202"/>
    <w:pPr>
      <w:spacing w:before="100" w:beforeAutospacing="1" w:after="100" w:afterAutospacing="1"/>
    </w:pPr>
    <w:rPr>
      <w:rFonts w:ascii="Times New Roman" w:eastAsia="Times New Roman" w:hAnsi="Times New Roman" w:cs="Times New Roman"/>
    </w:rPr>
  </w:style>
  <w:style w:type="paragraph" w:styleId="BodyText">
    <w:name w:val="Body Text"/>
    <w:basedOn w:val="Normal"/>
    <w:link w:val="BodyTextChar"/>
    <w:uiPriority w:val="99"/>
    <w:semiHidden/>
    <w:unhideWhenUsed/>
    <w:rsid w:val="003E2202"/>
    <w:pPr>
      <w:spacing w:after="120"/>
    </w:pPr>
  </w:style>
  <w:style w:type="character" w:customStyle="1" w:styleId="BodyTextChar">
    <w:name w:val="Body Text Char"/>
    <w:basedOn w:val="DefaultParagraphFont"/>
    <w:link w:val="BodyText"/>
    <w:uiPriority w:val="99"/>
    <w:semiHidden/>
    <w:rsid w:val="003E2202"/>
  </w:style>
  <w:style w:type="character" w:styleId="Hyperlink">
    <w:name w:val="Hyperlink"/>
    <w:basedOn w:val="DefaultParagraphFont"/>
    <w:uiPriority w:val="99"/>
    <w:unhideWhenUsed/>
    <w:rsid w:val="003E2202"/>
    <w:rPr>
      <w:color w:val="0563C1" w:themeColor="hyperlink"/>
      <w:u w:val="single"/>
    </w:rPr>
  </w:style>
  <w:style w:type="character" w:styleId="UnresolvedMention">
    <w:name w:val="Unresolved Mention"/>
    <w:basedOn w:val="DefaultParagraphFont"/>
    <w:uiPriority w:val="99"/>
    <w:semiHidden/>
    <w:unhideWhenUsed/>
    <w:rsid w:val="00BB7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FIW_b9H1V24&amp;list=PLlldDb7IZYqKWVsaaZPzCDeZSLc8ufDY7&amp;index=8"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707</Words>
  <Characters>4031</Characters>
  <Application>Microsoft Office Word</Application>
  <DocSecurity>0</DocSecurity>
  <Lines>33</Lines>
  <Paragraphs>9</Paragraphs>
  <ScaleCrop>false</ScaleCrop>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Kleinjan, Jonathan</dc:creator>
  <cp:keywords/>
  <dc:description/>
  <cp:lastModifiedBy>Kleinjan, Jonathan</cp:lastModifiedBy>
  <cp:revision>3</cp:revision>
  <dcterms:created xsi:type="dcterms:W3CDTF">2023-04-30T18:03:00Z</dcterms:created>
  <dcterms:modified xsi:type="dcterms:W3CDTF">2023-04-30T18:13:00Z</dcterms:modified>
</cp:coreProperties>
</file>