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6EB24" w14:textId="77777777" w:rsidR="004B7A0B" w:rsidRPr="004B7A0B" w:rsidRDefault="004B7A0B" w:rsidP="004B7A0B">
      <w:pPr>
        <w:rPr>
          <w:rFonts w:asciiTheme="minorHAnsi" w:hAnsiTheme="minorHAnsi" w:cstheme="minorHAnsi"/>
          <w:sz w:val="22"/>
          <w:szCs w:val="22"/>
        </w:rPr>
      </w:pPr>
      <w:r w:rsidRPr="004B7A0B">
        <w:rPr>
          <w:rFonts w:asciiTheme="minorHAnsi" w:hAnsiTheme="minorHAnsi" w:cstheme="minorHAnsi"/>
          <w:sz w:val="22"/>
          <w:szCs w:val="22"/>
        </w:rPr>
        <w:t>Executive Summary 2023</w:t>
      </w:r>
    </w:p>
    <w:p w14:paraId="5D04CD46" w14:textId="77777777" w:rsidR="004B7A0B" w:rsidRPr="004B7A0B" w:rsidRDefault="004B7A0B" w:rsidP="004B7A0B">
      <w:pPr>
        <w:rPr>
          <w:rFonts w:asciiTheme="minorHAnsi" w:hAnsiTheme="minorHAnsi" w:cstheme="minorHAnsi"/>
          <w:sz w:val="22"/>
          <w:szCs w:val="22"/>
        </w:rPr>
      </w:pPr>
      <w:r w:rsidRPr="004B7A0B">
        <w:rPr>
          <w:rFonts w:asciiTheme="minorHAnsi" w:hAnsiTheme="minorHAnsi" w:cstheme="minorHAnsi"/>
          <w:sz w:val="22"/>
          <w:szCs w:val="22"/>
        </w:rPr>
        <w:t xml:space="preserve">Visual rating for iron-deficiency chlorosis </w:t>
      </w:r>
    </w:p>
    <w:p w14:paraId="1C43DFDB" w14:textId="77777777" w:rsidR="004B7A0B" w:rsidRPr="004B7A0B" w:rsidRDefault="004B7A0B" w:rsidP="004B7A0B">
      <w:pPr>
        <w:rPr>
          <w:rFonts w:asciiTheme="minorHAnsi" w:hAnsiTheme="minorHAnsi" w:cstheme="minorHAnsi"/>
          <w:sz w:val="22"/>
          <w:szCs w:val="22"/>
        </w:rPr>
      </w:pPr>
      <w:r w:rsidRPr="004B7A0B">
        <w:rPr>
          <w:rFonts w:asciiTheme="minorHAnsi" w:hAnsiTheme="minorHAnsi" w:cstheme="minorHAnsi"/>
          <w:sz w:val="22"/>
          <w:szCs w:val="22"/>
        </w:rPr>
        <w:t>PI: Carrie Miranda</w:t>
      </w:r>
    </w:p>
    <w:p w14:paraId="34AFAC7F" w14:textId="77777777" w:rsidR="00CE6895" w:rsidRDefault="00CE6895">
      <w:pPr>
        <w:rPr>
          <w:rFonts w:asciiTheme="minorHAnsi" w:hAnsiTheme="minorHAnsi" w:cstheme="minorHAnsi"/>
        </w:rPr>
      </w:pPr>
    </w:p>
    <w:p w14:paraId="67FD4FAF" w14:textId="74212FF0" w:rsidR="004B7A0B" w:rsidRDefault="004B7A0B" w:rsidP="004B7A0B">
      <w:pPr>
        <w:pStyle w:val="ql-indent-1"/>
        <w:numPr>
          <w:ilvl w:val="0"/>
          <w:numId w:val="1"/>
        </w:numPr>
        <w:spacing w:after="0" w:afterAutospacing="0"/>
        <w:rPr>
          <w:rFonts w:ascii="Calibri" w:hAnsi="Calibri" w:cs="Calibri"/>
          <w:color w:val="000000"/>
          <w:sz w:val="22"/>
          <w:szCs w:val="22"/>
        </w:rPr>
      </w:pPr>
      <w:r>
        <w:rPr>
          <w:rFonts w:ascii="Calibri" w:hAnsi="Calibri" w:cs="Calibri"/>
          <w:color w:val="000000"/>
          <w:sz w:val="22"/>
          <w:szCs w:val="22"/>
        </w:rPr>
        <w:t>Research Project description/why this research is important to North Dakota Farmers</w:t>
      </w:r>
    </w:p>
    <w:p w14:paraId="7C55949E" w14:textId="77777777" w:rsidR="004B7A0B" w:rsidRDefault="004B7A0B" w:rsidP="004B7A0B">
      <w:pPr>
        <w:spacing w:after="240"/>
        <w:rPr>
          <w:rFonts w:asciiTheme="minorHAnsi" w:hAnsiTheme="minorHAnsi" w:cstheme="minorHAnsi"/>
          <w:sz w:val="22"/>
          <w:szCs w:val="22"/>
        </w:rPr>
      </w:pPr>
    </w:p>
    <w:p w14:paraId="2A2F501D" w14:textId="314BB9AB" w:rsidR="004B7A0B" w:rsidRPr="004B7A0B" w:rsidRDefault="004B7A0B" w:rsidP="004B7A0B">
      <w:pPr>
        <w:spacing w:after="240"/>
        <w:rPr>
          <w:rFonts w:asciiTheme="minorHAnsi" w:hAnsiTheme="minorHAnsi" w:cstheme="minorHAnsi"/>
          <w:b/>
          <w:sz w:val="22"/>
          <w:szCs w:val="22"/>
        </w:rPr>
      </w:pPr>
      <w:r w:rsidRPr="004B7A0B">
        <w:rPr>
          <w:rFonts w:asciiTheme="minorHAnsi" w:hAnsiTheme="minorHAnsi" w:cstheme="minorHAnsi"/>
          <w:sz w:val="22"/>
          <w:szCs w:val="22"/>
        </w:rPr>
        <w:t xml:space="preserve">Iron-deficiency chlorosis (IDC) is common in North Dakota and reduces yield.  The best way to reduce the yield losses associated with IDC is to select a tolerant cultivar.  Growers need data that compares varieties from different private companies in the same environments using the same experimental method.  </w:t>
      </w:r>
      <w:r>
        <w:rPr>
          <w:rFonts w:asciiTheme="minorHAnsi" w:hAnsiTheme="minorHAnsi" w:cstheme="minorHAnsi"/>
          <w:sz w:val="22"/>
          <w:szCs w:val="22"/>
        </w:rPr>
        <w:t>Private</w:t>
      </w:r>
      <w:r w:rsidRPr="004B7A0B">
        <w:rPr>
          <w:rFonts w:asciiTheme="minorHAnsi" w:hAnsiTheme="minorHAnsi" w:cstheme="minorHAnsi"/>
          <w:sz w:val="22"/>
          <w:szCs w:val="22"/>
        </w:rPr>
        <w:t xml:space="preserve"> company varieties </w:t>
      </w:r>
      <w:r>
        <w:rPr>
          <w:rFonts w:asciiTheme="minorHAnsi" w:hAnsiTheme="minorHAnsi" w:cstheme="minorHAnsi"/>
          <w:sz w:val="22"/>
          <w:szCs w:val="22"/>
        </w:rPr>
        <w:t xml:space="preserve">enter their lines for IDC testing through the NDSU website.  </w:t>
      </w:r>
      <w:r w:rsidRPr="004B7A0B">
        <w:rPr>
          <w:rFonts w:asciiTheme="minorHAnsi" w:hAnsiTheme="minorHAnsi" w:cstheme="minorHAnsi"/>
          <w:sz w:val="22"/>
          <w:szCs w:val="22"/>
        </w:rPr>
        <w:t xml:space="preserve"> </w:t>
      </w:r>
      <w:r>
        <w:rPr>
          <w:rFonts w:asciiTheme="minorHAnsi" w:hAnsiTheme="minorHAnsi" w:cstheme="minorHAnsi"/>
          <w:sz w:val="22"/>
          <w:szCs w:val="22"/>
        </w:rPr>
        <w:t>These varieties are</w:t>
      </w:r>
      <w:r w:rsidRPr="004B7A0B">
        <w:rPr>
          <w:rFonts w:asciiTheme="minorHAnsi" w:hAnsiTheme="minorHAnsi" w:cstheme="minorHAnsi"/>
          <w:sz w:val="22"/>
          <w:szCs w:val="22"/>
        </w:rPr>
        <w:t xml:space="preserve"> evaluated for visual ratings of IDC at multiple field locations.   Th</w:t>
      </w:r>
      <w:r>
        <w:rPr>
          <w:rFonts w:asciiTheme="minorHAnsi" w:hAnsiTheme="minorHAnsi" w:cstheme="minorHAnsi"/>
          <w:sz w:val="22"/>
          <w:szCs w:val="22"/>
        </w:rPr>
        <w:t>ese</w:t>
      </w:r>
      <w:r w:rsidRPr="004B7A0B">
        <w:rPr>
          <w:rFonts w:asciiTheme="minorHAnsi" w:hAnsiTheme="minorHAnsi" w:cstheme="minorHAnsi"/>
          <w:sz w:val="22"/>
          <w:szCs w:val="22"/>
        </w:rPr>
        <w:t xml:space="preserve"> data will provide an independent confirmation of the IDC tolerance of company products and enable growers to compare varieties from different companies.  </w:t>
      </w:r>
    </w:p>
    <w:p w14:paraId="7BE6ED73" w14:textId="10CCB2B8" w:rsidR="004B7A0B" w:rsidRDefault="004B7A0B" w:rsidP="004B7A0B">
      <w:pPr>
        <w:pStyle w:val="ql-indent-1"/>
        <w:numPr>
          <w:ilvl w:val="0"/>
          <w:numId w:val="1"/>
        </w:numPr>
        <w:spacing w:after="0" w:afterAutospacing="0"/>
        <w:rPr>
          <w:rFonts w:ascii="Calibri" w:hAnsi="Calibri" w:cs="Calibri"/>
          <w:color w:val="000000"/>
          <w:sz w:val="22"/>
          <w:szCs w:val="22"/>
        </w:rPr>
      </w:pPr>
      <w:r>
        <w:rPr>
          <w:rFonts w:ascii="Calibri" w:hAnsi="Calibri" w:cs="Calibri"/>
          <w:color w:val="000000"/>
          <w:sz w:val="22"/>
          <w:szCs w:val="22"/>
        </w:rPr>
        <w:t>Research conducted/brief description of research and objectives.</w:t>
      </w:r>
    </w:p>
    <w:p w14:paraId="7D3C63C7" w14:textId="20D6CA50" w:rsidR="004B7A0B" w:rsidRDefault="004B7A0B" w:rsidP="004B7A0B">
      <w:pPr>
        <w:pStyle w:val="ql-indent-1"/>
        <w:spacing w:after="0" w:afterAutospacing="0"/>
        <w:rPr>
          <w:rFonts w:ascii="Calibri" w:hAnsi="Calibri" w:cs="Calibri"/>
          <w:color w:val="1D1D1D"/>
          <w:sz w:val="22"/>
          <w:szCs w:val="22"/>
        </w:rPr>
      </w:pPr>
      <w:r>
        <w:rPr>
          <w:rFonts w:ascii="Calibri" w:hAnsi="Calibri" w:cs="Calibri"/>
          <w:color w:val="000000"/>
          <w:sz w:val="22"/>
          <w:szCs w:val="22"/>
        </w:rPr>
        <w:t>The objective of this project is to test as many private company lines are possible in multiple fields affected with IDC around the Fargo area.  The results are analyzed and published online.</w:t>
      </w:r>
      <w:r w:rsidR="00B137FA">
        <w:rPr>
          <w:rFonts w:ascii="Calibri" w:hAnsi="Calibri" w:cs="Calibri"/>
          <w:color w:val="000000"/>
          <w:sz w:val="22"/>
          <w:szCs w:val="22"/>
        </w:rPr>
        <w:t xml:space="preserve"> NDSU experimental lines are also tested in this project.</w:t>
      </w:r>
    </w:p>
    <w:p w14:paraId="65303ECD" w14:textId="68456FEF" w:rsidR="004B7A0B" w:rsidRDefault="004B7A0B" w:rsidP="004B7A0B">
      <w:pPr>
        <w:pStyle w:val="ql-indent-1"/>
        <w:numPr>
          <w:ilvl w:val="0"/>
          <w:numId w:val="1"/>
        </w:numPr>
        <w:spacing w:after="0" w:afterAutospacing="0"/>
        <w:rPr>
          <w:rFonts w:ascii="Calibri" w:hAnsi="Calibri" w:cs="Calibri"/>
          <w:color w:val="000000"/>
          <w:sz w:val="22"/>
          <w:szCs w:val="22"/>
        </w:rPr>
      </w:pPr>
      <w:r>
        <w:rPr>
          <w:rFonts w:ascii="Calibri" w:hAnsi="Calibri" w:cs="Calibri"/>
          <w:color w:val="000000"/>
          <w:sz w:val="22"/>
          <w:szCs w:val="22"/>
        </w:rPr>
        <w:t>Research results/ findings of the research</w:t>
      </w:r>
    </w:p>
    <w:p w14:paraId="7374F0C3" w14:textId="352886AE" w:rsidR="004B7A0B" w:rsidRDefault="004B7A0B" w:rsidP="004B7A0B">
      <w:pPr>
        <w:pStyle w:val="ql-indent-1"/>
        <w:spacing w:after="0" w:afterAutospacing="0"/>
        <w:rPr>
          <w:rFonts w:ascii="Calibri" w:hAnsi="Calibri" w:cs="Calibri"/>
          <w:color w:val="000000"/>
          <w:sz w:val="22"/>
          <w:szCs w:val="22"/>
        </w:rPr>
      </w:pPr>
      <w:r>
        <w:rPr>
          <w:rFonts w:ascii="Calibri" w:hAnsi="Calibri" w:cs="Calibri"/>
          <w:color w:val="000000"/>
          <w:sz w:val="22"/>
          <w:szCs w:val="22"/>
        </w:rPr>
        <w:t>2022 was a difficult year of IDC as the symptoms were very strong.  In addition, only two locations with previous IDC symptoms were sourced and only one emerged.  The location</w:t>
      </w:r>
      <w:r w:rsidR="00B137FA">
        <w:rPr>
          <w:rFonts w:ascii="Calibri" w:hAnsi="Calibri" w:cs="Calibri"/>
          <w:color w:val="000000"/>
          <w:sz w:val="22"/>
          <w:szCs w:val="22"/>
        </w:rPr>
        <w:t xml:space="preserve"> displayed IDC symptoms but very severely.  The results of the IDC testing can be found here: </w:t>
      </w:r>
      <w:r w:rsidR="00B137FA" w:rsidRPr="00B137FA">
        <w:rPr>
          <w:rFonts w:ascii="Calibri" w:hAnsi="Calibri" w:cs="Calibri"/>
          <w:color w:val="000000"/>
          <w:sz w:val="22"/>
          <w:szCs w:val="22"/>
        </w:rPr>
        <w:t>https://www.ndsu.edu/agriculture/extension/publications/north-dakota-soybean-variety-trial-results-2022-and-selection-guide</w:t>
      </w:r>
    </w:p>
    <w:p w14:paraId="2FFFDE4C" w14:textId="06F60FA0" w:rsidR="00B137FA" w:rsidRDefault="00B137FA" w:rsidP="004B7A0B">
      <w:pPr>
        <w:pStyle w:val="ql-indent-1"/>
        <w:spacing w:after="0" w:afterAutospacing="0"/>
        <w:rPr>
          <w:rFonts w:ascii="Calibri" w:hAnsi="Calibri" w:cs="Calibri"/>
          <w:color w:val="1D1D1D"/>
          <w:sz w:val="22"/>
          <w:szCs w:val="22"/>
        </w:rPr>
      </w:pPr>
      <w:r>
        <w:rPr>
          <w:rFonts w:ascii="Calibri" w:hAnsi="Calibri" w:cs="Calibri"/>
          <w:color w:val="000000"/>
          <w:sz w:val="22"/>
          <w:szCs w:val="22"/>
        </w:rPr>
        <w:t xml:space="preserve">Four NDSU experimental lines were found with adequate IDC tolerance.  </w:t>
      </w:r>
    </w:p>
    <w:p w14:paraId="06E61937" w14:textId="149E0D87" w:rsidR="004B7A0B" w:rsidRDefault="004B7A0B" w:rsidP="00B137FA">
      <w:pPr>
        <w:pStyle w:val="ql-indent-1"/>
        <w:numPr>
          <w:ilvl w:val="0"/>
          <w:numId w:val="1"/>
        </w:numPr>
        <w:spacing w:after="0" w:afterAutospacing="0"/>
        <w:rPr>
          <w:rFonts w:ascii="Calibri" w:hAnsi="Calibri" w:cs="Calibri"/>
          <w:color w:val="000000"/>
          <w:sz w:val="22"/>
          <w:szCs w:val="22"/>
        </w:rPr>
      </w:pPr>
      <w:r>
        <w:rPr>
          <w:rFonts w:ascii="Calibri" w:hAnsi="Calibri" w:cs="Calibri"/>
          <w:color w:val="000000"/>
          <w:sz w:val="22"/>
          <w:szCs w:val="22"/>
        </w:rPr>
        <w:t>Benefits/recommendations for North Dakota Soybean farmers and the industry</w:t>
      </w:r>
    </w:p>
    <w:p w14:paraId="216B67D2" w14:textId="77777777" w:rsidR="00B137FA" w:rsidRDefault="00B137FA" w:rsidP="00B137FA">
      <w:pPr>
        <w:rPr>
          <w:rFonts w:asciiTheme="minorHAnsi" w:hAnsiTheme="minorHAnsi" w:cstheme="minorHAnsi"/>
          <w:sz w:val="22"/>
          <w:szCs w:val="22"/>
        </w:rPr>
      </w:pPr>
    </w:p>
    <w:p w14:paraId="29A500FF" w14:textId="77777777" w:rsidR="00B137FA" w:rsidRPr="00D22A23" w:rsidRDefault="00B137FA" w:rsidP="00B137FA">
      <w:pPr>
        <w:rPr>
          <w:rFonts w:asciiTheme="minorHAnsi" w:hAnsiTheme="minorHAnsi" w:cstheme="minorHAnsi"/>
          <w:sz w:val="22"/>
          <w:szCs w:val="22"/>
        </w:rPr>
      </w:pPr>
      <w:r>
        <w:rPr>
          <w:rFonts w:asciiTheme="minorHAnsi" w:hAnsiTheme="minorHAnsi" w:cstheme="minorHAnsi"/>
          <w:sz w:val="22"/>
          <w:szCs w:val="22"/>
        </w:rPr>
        <w:t>These data are an independent confirmation of private company IDC tolerances.  All varieties are grown side by side and treated with the same experimental design.  Also importantly, these varieties are all tested in North Dakota, because it is unclear if IDC tolerance is the same in different states.  These data allow growers access to trustworthy data from an unbiased third party so they can make the best decision for their production.  This project also allows the NDSU soybean breeding program to continue to create and test their own IDC tolerant soybean lines.</w:t>
      </w:r>
    </w:p>
    <w:p w14:paraId="0C903DC3" w14:textId="77777777" w:rsidR="00B137FA" w:rsidRDefault="00B137FA" w:rsidP="00B137FA">
      <w:pPr>
        <w:pStyle w:val="ql-indent-1"/>
        <w:spacing w:after="0" w:afterAutospacing="0"/>
        <w:ind w:left="1080"/>
        <w:rPr>
          <w:rFonts w:ascii="Calibri" w:hAnsi="Calibri" w:cs="Calibri"/>
          <w:color w:val="1D1D1D"/>
          <w:sz w:val="22"/>
          <w:szCs w:val="22"/>
        </w:rPr>
      </w:pPr>
    </w:p>
    <w:p w14:paraId="63433342" w14:textId="77777777" w:rsidR="004B7A0B" w:rsidRPr="004B7A0B" w:rsidRDefault="004B7A0B">
      <w:pPr>
        <w:rPr>
          <w:rFonts w:asciiTheme="minorHAnsi" w:hAnsiTheme="minorHAnsi" w:cstheme="minorHAnsi"/>
        </w:rPr>
      </w:pPr>
    </w:p>
    <w:sectPr w:rsidR="004B7A0B" w:rsidRPr="004B7A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387FE7"/>
    <w:multiLevelType w:val="hybridMultilevel"/>
    <w:tmpl w:val="8C24E2B6"/>
    <w:lvl w:ilvl="0" w:tplc="336875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37761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A0B"/>
    <w:rsid w:val="00037E0A"/>
    <w:rsid w:val="00137568"/>
    <w:rsid w:val="00157D8D"/>
    <w:rsid w:val="001A0801"/>
    <w:rsid w:val="001A1C4F"/>
    <w:rsid w:val="003919AC"/>
    <w:rsid w:val="003B3E04"/>
    <w:rsid w:val="004525C4"/>
    <w:rsid w:val="004B7A0B"/>
    <w:rsid w:val="004F3924"/>
    <w:rsid w:val="004F6A6B"/>
    <w:rsid w:val="005D403E"/>
    <w:rsid w:val="005E05B2"/>
    <w:rsid w:val="006B56FB"/>
    <w:rsid w:val="007324FF"/>
    <w:rsid w:val="007A47DC"/>
    <w:rsid w:val="0082077B"/>
    <w:rsid w:val="00934C6D"/>
    <w:rsid w:val="00967ABF"/>
    <w:rsid w:val="00A44F05"/>
    <w:rsid w:val="00B137FA"/>
    <w:rsid w:val="00BB79EA"/>
    <w:rsid w:val="00CE5576"/>
    <w:rsid w:val="00CE6895"/>
    <w:rsid w:val="00D20DB3"/>
    <w:rsid w:val="00D71089"/>
    <w:rsid w:val="00DB5DE7"/>
    <w:rsid w:val="00EA02A7"/>
    <w:rsid w:val="00EA7465"/>
    <w:rsid w:val="00FD1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4C8F6"/>
  <w15:chartTrackingRefBased/>
  <w15:docId w15:val="{4B3CE90C-FDCC-834F-8D8D-2DB8EF37E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A0B"/>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l-indent-1">
    <w:name w:val="ql-indent-1"/>
    <w:basedOn w:val="Normal"/>
    <w:rsid w:val="004B7A0B"/>
    <w:pPr>
      <w:spacing w:before="100" w:beforeAutospacing="1" w:after="100" w:afterAutospacing="1"/>
    </w:pPr>
  </w:style>
  <w:style w:type="paragraph" w:styleId="ListParagraph">
    <w:name w:val="List Paragraph"/>
    <w:basedOn w:val="Normal"/>
    <w:uiPriority w:val="34"/>
    <w:qFormat/>
    <w:rsid w:val="004B7A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37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1947</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Carrie</dc:creator>
  <cp:keywords/>
  <dc:description/>
  <cp:lastModifiedBy>Miki Miheguli</cp:lastModifiedBy>
  <cp:revision>2</cp:revision>
  <dcterms:created xsi:type="dcterms:W3CDTF">2023-06-30T20:50:00Z</dcterms:created>
  <dcterms:modified xsi:type="dcterms:W3CDTF">2023-06-30T20:50:00Z</dcterms:modified>
</cp:coreProperties>
</file>