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D7484" w:rsidR="005C6B5A" w:rsidP="24F30496" w:rsidRDefault="005C6B5A" w14:paraId="4023CA62" w14:textId="6DCB2B1A">
      <w:pPr>
        <w:spacing w:before="69" w:line="240" w:lineRule="auto"/>
        <w:jc w:val="center"/>
        <w:rPr>
          <w:rFonts w:ascii="Arial" w:hAnsi="Arial" w:eastAsia="Arial" w:cs="Arial"/>
          <w:b w:val="1"/>
          <w:bCs w:val="1"/>
          <w:sz w:val="24"/>
          <w:szCs w:val="24"/>
        </w:rPr>
      </w:pPr>
      <w:r w:rsidRPr="24F30496" w:rsidR="24F30496">
        <w:rPr>
          <w:rFonts w:ascii="Arial" w:hAnsi="Arial" w:eastAsia="Arial" w:cs="Arial"/>
          <w:b w:val="1"/>
          <w:bCs w:val="1"/>
          <w:sz w:val="24"/>
          <w:szCs w:val="24"/>
        </w:rPr>
        <w:t>Minnesota Soybean Research and Promotion Council</w:t>
      </w:r>
    </w:p>
    <w:p w:rsidR="6DB93AD5" w:rsidP="24F30496" w:rsidRDefault="6DB93AD5" w14:paraId="7376F971" w14:textId="533D319F">
      <w:pPr>
        <w:pStyle w:val="Heading1"/>
        <w:spacing w:line="240" w:lineRule="auto"/>
        <w:ind w:left="0"/>
        <w:jc w:val="center"/>
        <w:rPr>
          <w:rFonts w:ascii="Arial" w:hAnsi="Arial" w:eastAsia="Arial" w:cs="Arial"/>
          <w:sz w:val="28"/>
          <w:szCs w:val="28"/>
        </w:rPr>
      </w:pPr>
      <w:r w:rsidRPr="24F30496" w:rsidR="24F30496">
        <w:rPr>
          <w:rFonts w:ascii="Arial" w:hAnsi="Arial" w:eastAsia="Arial" w:cs="Arial"/>
          <w:sz w:val="28"/>
          <w:szCs w:val="28"/>
        </w:rPr>
        <w:t>Annual Research Progress Report</w:t>
      </w:r>
    </w:p>
    <w:p w:rsidR="6DB93AD5" w:rsidP="24F30496" w:rsidRDefault="6DB93AD5" w14:paraId="0AB960EA" w14:textId="0731CDFA">
      <w:pPr>
        <w:pStyle w:val="Heading2"/>
        <w:tabs>
          <w:tab w:val="left" w:leader="none" w:pos="2340"/>
        </w:tabs>
        <w:spacing w:before="2" w:line="240" w:lineRule="auto"/>
        <w:ind w:left="0"/>
        <w:rPr>
          <w:rFonts w:ascii="Arial" w:hAnsi="Arial" w:eastAsia="Arial" w:cs="Arial"/>
          <w:i w:val="1"/>
          <w:iCs w:val="1"/>
          <w:sz w:val="22"/>
          <w:szCs w:val="22"/>
        </w:rPr>
      </w:pPr>
    </w:p>
    <w:p w:rsidRPr="001D7484" w:rsidR="005C6B5A" w:rsidP="24F30496" w:rsidRDefault="005C6B5A" w14:paraId="0143DC24" w14:textId="4633915F">
      <w:pPr>
        <w:pStyle w:val="Heading2"/>
        <w:tabs>
          <w:tab w:val="left" w:pos="2340"/>
        </w:tabs>
        <w:spacing w:before="2" w:line="240" w:lineRule="auto"/>
        <w:ind w:left="0"/>
        <w:rPr>
          <w:rFonts w:ascii="Arial" w:hAnsi="Arial" w:eastAsia="Arial" w:cs="Arial"/>
          <w:i w:val="1"/>
          <w:iCs w:val="1"/>
          <w:sz w:val="22"/>
          <w:szCs w:val="22"/>
        </w:rPr>
      </w:pPr>
      <w:r w:rsidRPr="24F30496" w:rsidR="24F30496">
        <w:rPr>
          <w:rFonts w:ascii="Arial" w:hAnsi="Arial" w:eastAsia="Arial" w:cs="Arial"/>
          <w:i w:val="1"/>
          <w:iCs w:val="1"/>
          <w:sz w:val="18"/>
          <w:szCs w:val="18"/>
        </w:rPr>
        <w:t xml:space="preserve">Project Title:  </w:t>
      </w:r>
    </w:p>
    <w:p w:rsidRPr="001D7484" w:rsidR="005C6B5A" w:rsidP="24F30496" w:rsidRDefault="005C6B5A" w14:paraId="71FB0950" w14:textId="682AB92F">
      <w:pPr>
        <w:pStyle w:val="Heading2"/>
        <w:tabs>
          <w:tab w:val="left" w:pos="2340"/>
        </w:tabs>
        <w:spacing w:before="2" w:line="240" w:lineRule="auto"/>
        <w:ind w:left="0"/>
        <w:rPr>
          <w:rFonts w:ascii="Arial" w:hAnsi="Arial" w:eastAsia="Arial" w:cs="Arial"/>
          <w:i w:val="1"/>
          <w:iCs w:val="1"/>
          <w:sz w:val="22"/>
          <w:szCs w:val="22"/>
        </w:rPr>
      </w:pPr>
      <w:r w:rsidRPr="24F30496" w:rsidR="24F30496">
        <w:rPr>
          <w:rFonts w:ascii="Arial" w:hAnsi="Arial" w:eastAsia="Arial" w:cs="Arial"/>
          <w:b w:val="1"/>
          <w:bCs w:val="1"/>
          <w:i w:val="0"/>
          <w:iCs w:val="0"/>
          <w:sz w:val="22"/>
          <w:szCs w:val="22"/>
        </w:rPr>
        <w:t>Evaluating soybean varieties to identify genetic and sources of resistance and escape against white mold</w:t>
      </w:r>
      <w:r>
        <w:br/>
      </w:r>
    </w:p>
    <w:p w:rsidRPr="001D7484" w:rsidR="005C6B5A" w:rsidP="24F30496" w:rsidRDefault="005C6B5A" w14:paraId="38C036CB" w14:textId="41B7F54A">
      <w:pPr>
        <w:tabs>
          <w:tab w:val="left" w:pos="2340"/>
        </w:tabs>
        <w:spacing w:before="10" w:line="240" w:lineRule="auto"/>
        <w:rPr>
          <w:rFonts w:ascii="Arial" w:hAnsi="Arial" w:eastAsia="Arial" w:cs="Arial"/>
          <w:b w:val="1"/>
          <w:bCs w:val="1"/>
          <w:sz w:val="22"/>
          <w:szCs w:val="22"/>
        </w:rPr>
      </w:pPr>
      <w:r w:rsidRPr="24F30496" w:rsidR="24F30496">
        <w:rPr>
          <w:rFonts w:ascii="Arial" w:hAnsi="Arial" w:eastAsia="Arial" w:cs="Arial"/>
          <w:b w:val="1"/>
          <w:bCs w:val="1"/>
          <w:i w:val="1"/>
          <w:iCs w:val="1"/>
          <w:sz w:val="18"/>
          <w:szCs w:val="18"/>
        </w:rPr>
        <w:t>Principal Investigator(s):</w:t>
      </w:r>
      <w:r w:rsidRPr="24F30496" w:rsidR="24F30496">
        <w:rPr>
          <w:rFonts w:ascii="Arial" w:hAnsi="Arial" w:eastAsia="Arial" w:cs="Arial"/>
          <w:b w:val="1"/>
          <w:bCs w:val="1"/>
          <w:sz w:val="18"/>
          <w:szCs w:val="18"/>
        </w:rPr>
        <w:t xml:space="preserve"> </w:t>
      </w:r>
    </w:p>
    <w:p w:rsidRPr="001D7484" w:rsidR="005C6B5A" w:rsidP="24F30496" w:rsidRDefault="005C6B5A" w14:paraId="700ACA5C" w14:textId="5C48A654">
      <w:pPr>
        <w:tabs>
          <w:tab w:val="left" w:pos="2340"/>
        </w:tabs>
        <w:spacing w:before="10" w:line="240" w:lineRule="auto"/>
        <w:rPr>
          <w:rFonts w:ascii="Arial" w:hAnsi="Arial" w:eastAsia="Arial" w:cs="Arial"/>
          <w:b w:val="1"/>
          <w:bCs w:val="1"/>
          <w:sz w:val="22"/>
          <w:szCs w:val="22"/>
        </w:rPr>
      </w:pPr>
      <w:r w:rsidRPr="24F30496" w:rsidR="24F30496">
        <w:rPr>
          <w:rFonts w:ascii="Arial" w:hAnsi="Arial" w:eastAsia="Arial" w:cs="Arial"/>
          <w:b w:val="1"/>
          <w:bCs w:val="1"/>
          <w:sz w:val="22"/>
          <w:szCs w:val="22"/>
        </w:rPr>
        <w:t xml:space="preserve">Cooperators: Megan </w:t>
      </w:r>
      <w:proofErr w:type="spellStart"/>
      <w:r w:rsidRPr="24F30496" w:rsidR="24F30496">
        <w:rPr>
          <w:rFonts w:ascii="Arial" w:hAnsi="Arial" w:eastAsia="Arial" w:cs="Arial"/>
          <w:b w:val="1"/>
          <w:bCs w:val="1"/>
          <w:sz w:val="22"/>
          <w:szCs w:val="22"/>
        </w:rPr>
        <w:t>McCaghey</w:t>
      </w:r>
      <w:proofErr w:type="spellEnd"/>
      <w:r w:rsidRPr="24F30496" w:rsidR="24F30496">
        <w:rPr>
          <w:rFonts w:ascii="Arial" w:hAnsi="Arial" w:eastAsia="Arial" w:cs="Arial"/>
          <w:b w:val="1"/>
          <w:bCs w:val="1"/>
          <w:sz w:val="22"/>
          <w:szCs w:val="22"/>
        </w:rPr>
        <w:t>, Aaron Lorenz, Suma Sreekanta, Hsuan-Fu Wang, Alisha Hershman Wade Webster, Damon Smith</w:t>
      </w:r>
    </w:p>
    <w:p w:rsidR="64388CE3" w:rsidP="24F30496" w:rsidRDefault="64388CE3" w14:paraId="6A0C4D92" w14:textId="35641B10">
      <w:pPr>
        <w:pStyle w:val="Normal"/>
        <w:tabs>
          <w:tab w:val="left" w:leader="none" w:pos="2340"/>
        </w:tabs>
        <w:spacing w:before="10" w:line="240" w:lineRule="auto"/>
        <w:rPr>
          <w:rFonts w:ascii="Arial" w:hAnsi="Arial" w:eastAsia="Arial" w:cs="Arial"/>
          <w:b w:val="1"/>
          <w:bCs w:val="1"/>
          <w:sz w:val="22"/>
          <w:szCs w:val="22"/>
        </w:rPr>
      </w:pPr>
    </w:p>
    <w:p w:rsidRPr="001D7484" w:rsidR="0066628C" w:rsidP="24F30496" w:rsidRDefault="00075CA7" w14:textId="50E04BA5" w14:paraId="3A34B9C0">
      <w:pPr>
        <w:tabs>
          <w:tab w:val="left" w:pos="2340"/>
        </w:tabs>
        <w:spacing w:before="1" w:line="240" w:lineRule="auto"/>
        <w:ind w:right="2825"/>
        <w:rPr>
          <w:rFonts w:ascii="Arial" w:hAnsi="Arial" w:eastAsia="Arial" w:cs="Arial"/>
          <w:b w:val="0"/>
          <w:bCs w:val="0"/>
          <w:i w:val="1"/>
          <w:iCs w:val="1"/>
          <w:sz w:val="22"/>
          <w:szCs w:val="22"/>
        </w:rPr>
      </w:pPr>
      <w:r w:rsidRPr="24F30496">
        <w:rPr>
          <w:rFonts w:ascii="Arial" w:hAnsi="Arial" w:eastAsia="Arial" w:cs="Arial"/>
          <w:b w:val="1"/>
          <w:bCs w:val="1"/>
          <w:i w:val="1"/>
          <w:iCs w:val="1"/>
          <w:sz w:val="18"/>
          <w:szCs w:val="18"/>
        </w:rPr>
        <w:t>Project</w:t>
      </w:r>
      <w:r w:rsidRPr="24F30496">
        <w:rPr>
          <w:rFonts w:ascii="Arial" w:hAnsi="Arial" w:eastAsia="Arial" w:cs="Arial"/>
          <w:b w:val="1"/>
          <w:bCs w:val="1"/>
          <w:i w:val="1"/>
          <w:iCs w:val="1"/>
          <w:spacing w:val="-4"/>
          <w:sz w:val="18"/>
          <w:szCs w:val="18"/>
        </w:rPr>
        <w:t xml:space="preserve"> </w:t>
      </w:r>
      <w:r w:rsidRPr="24F30496">
        <w:rPr>
          <w:rFonts w:ascii="Arial" w:hAnsi="Arial" w:eastAsia="Arial" w:cs="Arial"/>
          <w:b w:val="1"/>
          <w:bCs w:val="1"/>
          <w:i w:val="1"/>
          <w:iCs w:val="1"/>
          <w:sz w:val="18"/>
          <w:szCs w:val="18"/>
        </w:rPr>
        <w:t xml:space="preserve">Period:</w:t>
      </w:r>
      <w:r w:rsidRPr="24F30496">
        <w:rPr>
          <w:rFonts w:ascii="Arial" w:hAnsi="Arial" w:eastAsia="Arial" w:cs="Arial"/>
          <w:b w:val="1"/>
          <w:bCs w:val="1"/>
          <w:i w:val="1"/>
          <w:iCs w:val="1"/>
          <w:sz w:val="22"/>
          <w:szCs w:val="22"/>
        </w:rPr>
        <w:t xml:space="preserve"> </w:t>
      </w:r>
      <w:r w:rsidRPr="24F30496">
        <w:rPr>
          <w:rFonts w:ascii="Arial" w:hAnsi="Arial" w:eastAsia="Arial" w:cs="Arial"/>
          <w:b w:val="1"/>
          <w:bCs w:val="1"/>
          <w:i w:val="0"/>
          <w:iCs w:val="0"/>
          <w:sz w:val="20"/>
          <w:szCs w:val="20"/>
        </w:rPr>
        <w:t>May 1 2023-April 30, 202</w:t>
      </w:r>
      <w:r w:rsidRPr="24F30496">
        <w:rPr>
          <w:rFonts w:ascii="Arial" w:hAnsi="Arial" w:eastAsia="Arial" w:cs="Arial"/>
          <w:b w:val="0"/>
          <w:bCs w:val="0"/>
          <w:i w:val="1"/>
          <w:iCs w:val="1"/>
          <w:sz w:val="22"/>
          <w:szCs w:val="22"/>
        </w:rPr>
        <w:t>4</w:t>
      </w:r>
      <w:r w:rsidRPr="001D7484">
        <w:rPr>
          <w:b/>
          <w:sz w:val="20"/>
        </w:rPr>
        <w:tab/>
      </w:r>
    </w:p>
    <w:p w:rsidRPr="001D7484" w:rsidR="0066628C" w:rsidP="24F30496" w:rsidRDefault="00075CA7" w14:paraId="1ABFA3F8" w14:textId="50E04BA5">
      <w:pPr>
        <w:tabs>
          <w:tab w:val="left" w:pos="2340"/>
        </w:tabs>
        <w:spacing w:before="1" w:line="240" w:lineRule="auto"/>
        <w:ind w:right="2825"/>
        <w:rPr>
          <w:rFonts w:ascii="Arial" w:hAnsi="Arial" w:eastAsia="Arial" w:cs="Arial"/>
          <w:sz w:val="22"/>
          <w:szCs w:val="22"/>
        </w:rPr>
      </w:pPr>
      <w:r w:rsidRPr="24F30496" w:rsidR="24F30496">
        <w:rPr>
          <w:rFonts w:ascii="Arial" w:hAnsi="Arial" w:eastAsia="Arial" w:cs="Arial"/>
          <w:sz w:val="22"/>
          <w:szCs w:val="22"/>
        </w:rPr>
        <w:t xml:space="preserve"> </w:t>
      </w:r>
    </w:p>
    <w:p w:rsidRPr="001D7484" w:rsidR="009035AB" w:rsidP="24F30496" w:rsidRDefault="00EC79E7" w14:paraId="35125632" w14:textId="1B53D663">
      <w:pPr>
        <w:pStyle w:val="BodyText"/>
        <w:spacing w:line="240" w:lineRule="auto"/>
        <w:rPr>
          <w:rFonts w:ascii="Arial" w:hAnsi="Arial" w:eastAsia="Arial" w:cs="Arial"/>
          <w:b w:val="1"/>
          <w:bCs w:val="1"/>
          <w:i w:val="1"/>
          <w:iCs w:val="1"/>
          <w:sz w:val="18"/>
          <w:szCs w:val="18"/>
        </w:rPr>
      </w:pPr>
      <w:r w:rsidRPr="24F30496" w:rsidR="24F30496">
        <w:rPr>
          <w:rFonts w:ascii="Arial" w:hAnsi="Arial" w:eastAsia="Arial" w:cs="Arial"/>
          <w:b w:val="1"/>
          <w:bCs w:val="1"/>
          <w:i w:val="1"/>
          <w:iCs w:val="1"/>
          <w:sz w:val="18"/>
          <w:szCs w:val="18"/>
          <w:u w:val="single"/>
        </w:rPr>
        <w:t>Research Question/Objectives:</w:t>
      </w:r>
      <w:r w:rsidRPr="24F30496" w:rsidR="24F30496">
        <w:rPr>
          <w:rFonts w:ascii="Arial" w:hAnsi="Arial" w:eastAsia="Arial" w:cs="Arial"/>
          <w:b w:val="1"/>
          <w:bCs w:val="1"/>
          <w:i w:val="1"/>
          <w:iCs w:val="1"/>
          <w:sz w:val="18"/>
          <w:szCs w:val="18"/>
        </w:rPr>
        <w:t xml:space="preserve"> </w:t>
      </w:r>
    </w:p>
    <w:p w:rsidRPr="001D7484" w:rsidR="009035AB" w:rsidP="24F30496" w:rsidRDefault="00EC79E7" w14:paraId="1ED05C93" w14:textId="1F67C5C6">
      <w:pPr>
        <w:pStyle w:val="BodyText"/>
        <w:spacing w:line="240" w:lineRule="auto"/>
        <w:rPr>
          <w:rFonts w:ascii="Arial" w:hAnsi="Arial" w:eastAsia="Arial" w:cs="Arial"/>
          <w:sz w:val="20"/>
          <w:szCs w:val="20"/>
        </w:rPr>
      </w:pPr>
      <w:r w:rsidRPr="24F30496" w:rsidR="24F30496">
        <w:rPr>
          <w:rFonts w:ascii="Arial" w:hAnsi="Arial" w:eastAsia="Arial" w:cs="Arial"/>
          <w:sz w:val="20"/>
          <w:szCs w:val="20"/>
        </w:rPr>
        <w:t>1. GOAL: Define relationship between canopy architecture and SSR development</w:t>
      </w:r>
    </w:p>
    <w:p w:rsidRPr="001D7484" w:rsidR="009035AB" w:rsidP="24F30496" w:rsidRDefault="00EC79E7" w14:paraId="448EFECC" w14:textId="31D46598">
      <w:pPr>
        <w:pStyle w:val="BodyText"/>
        <w:spacing w:line="240" w:lineRule="auto"/>
        <w:rPr>
          <w:rFonts w:ascii="Arial" w:hAnsi="Arial" w:eastAsia="Arial" w:cs="Arial"/>
          <w:sz w:val="20"/>
          <w:szCs w:val="20"/>
        </w:rPr>
      </w:pPr>
      <w:r w:rsidRPr="24F30496" w:rsidR="24F30496">
        <w:rPr>
          <w:rFonts w:ascii="Arial" w:hAnsi="Arial" w:eastAsia="Arial" w:cs="Arial"/>
          <w:sz w:val="20"/>
          <w:szCs w:val="20"/>
        </w:rPr>
        <w:t>Obj. 1) Characterize architectural traits and canopy closure of select lines in the field</w:t>
      </w:r>
    </w:p>
    <w:p w:rsidRPr="001D7484" w:rsidR="009035AB" w:rsidP="24F30496" w:rsidRDefault="00EC79E7" w14:paraId="2DF757FF" w14:textId="74FD43C7">
      <w:pPr>
        <w:pStyle w:val="BodyText"/>
        <w:spacing w:line="240" w:lineRule="auto"/>
        <w:rPr>
          <w:rFonts w:ascii="Arial" w:hAnsi="Arial" w:eastAsia="Arial" w:cs="Arial"/>
          <w:sz w:val="20"/>
          <w:szCs w:val="20"/>
        </w:rPr>
      </w:pPr>
      <w:r w:rsidRPr="24F30496" w:rsidR="24F30496">
        <w:rPr>
          <w:rFonts w:ascii="Arial" w:hAnsi="Arial" w:eastAsia="Arial" w:cs="Arial"/>
          <w:sz w:val="20"/>
          <w:szCs w:val="20"/>
        </w:rPr>
        <w:t>Obj. 2) Define the genetic, SSR resistance of architecturally diverse lines</w:t>
      </w:r>
    </w:p>
    <w:p w:rsidRPr="001D7484" w:rsidR="009035AB" w:rsidP="24F30496" w:rsidRDefault="00EC79E7" w14:paraId="25A2CD87" w14:textId="023A57BB">
      <w:pPr>
        <w:pStyle w:val="BodyText"/>
        <w:spacing w:line="240" w:lineRule="auto"/>
        <w:rPr>
          <w:rFonts w:ascii="Arial" w:hAnsi="Arial" w:eastAsia="Arial" w:cs="Arial"/>
          <w:sz w:val="20"/>
          <w:szCs w:val="20"/>
        </w:rPr>
      </w:pPr>
      <w:r w:rsidRPr="24F30496" w:rsidR="24F30496">
        <w:rPr>
          <w:rFonts w:ascii="Arial" w:hAnsi="Arial" w:eastAsia="Arial" w:cs="Arial"/>
          <w:sz w:val="20"/>
          <w:szCs w:val="20"/>
        </w:rPr>
        <w:t>Obj. 3) Measure light penetration along with apothecia and SSR development</w:t>
      </w:r>
    </w:p>
    <w:p w:rsidRPr="001D7484" w:rsidR="009035AB" w:rsidP="24F30496" w:rsidRDefault="00EC79E7" w14:paraId="68D2A332" w14:textId="3A090FF5">
      <w:pPr>
        <w:pStyle w:val="BodyText"/>
        <w:spacing w:line="240" w:lineRule="auto"/>
        <w:rPr>
          <w:rFonts w:ascii="Arial" w:hAnsi="Arial" w:eastAsia="Arial" w:cs="Arial"/>
          <w:sz w:val="20"/>
          <w:szCs w:val="20"/>
        </w:rPr>
      </w:pPr>
      <w:r w:rsidRPr="24F30496" w:rsidR="24F30496">
        <w:rPr>
          <w:rFonts w:ascii="Arial" w:hAnsi="Arial" w:eastAsia="Arial" w:cs="Arial"/>
          <w:sz w:val="20"/>
          <w:szCs w:val="20"/>
        </w:rPr>
        <w:t>2. GOAL: Develop tools to improve the efficacy of resistance screening for SSR</w:t>
      </w:r>
    </w:p>
    <w:p w:rsidRPr="001D7484" w:rsidR="009035AB" w:rsidP="24F30496" w:rsidRDefault="00EC79E7" w14:paraId="64D5885C" w14:textId="3F6AE39E">
      <w:pPr>
        <w:pStyle w:val="BodyText"/>
        <w:spacing w:line="240" w:lineRule="auto"/>
        <w:rPr>
          <w:rFonts w:ascii="Arial" w:hAnsi="Arial" w:eastAsia="Arial" w:cs="Arial"/>
          <w:sz w:val="20"/>
          <w:szCs w:val="20"/>
        </w:rPr>
      </w:pPr>
      <w:r w:rsidRPr="24F30496" w:rsidR="24F30496">
        <w:rPr>
          <w:rFonts w:ascii="Arial" w:hAnsi="Arial" w:eastAsia="Arial" w:cs="Arial"/>
          <w:sz w:val="20"/>
          <w:szCs w:val="20"/>
        </w:rPr>
        <w:t xml:space="preserve">Obj. 1) Develop a S. </w:t>
      </w:r>
      <w:proofErr w:type="spellStart"/>
      <w:r w:rsidRPr="24F30496" w:rsidR="24F30496">
        <w:rPr>
          <w:rFonts w:ascii="Arial" w:hAnsi="Arial" w:eastAsia="Arial" w:cs="Arial"/>
          <w:sz w:val="20"/>
          <w:szCs w:val="20"/>
        </w:rPr>
        <w:t>sclerotiorum</w:t>
      </w:r>
      <w:proofErr w:type="spellEnd"/>
      <w:r w:rsidRPr="24F30496" w:rsidR="24F30496">
        <w:rPr>
          <w:rFonts w:ascii="Arial" w:hAnsi="Arial" w:eastAsia="Arial" w:cs="Arial"/>
          <w:sz w:val="20"/>
          <w:szCs w:val="20"/>
        </w:rPr>
        <w:t xml:space="preserve"> isolate panel to screen for variety resistance</w:t>
      </w:r>
    </w:p>
    <w:p w:rsidRPr="001D7484" w:rsidR="009035AB" w:rsidP="24F30496" w:rsidRDefault="00EC79E7" w14:paraId="5FA7DF22" w14:textId="17B423DD">
      <w:pPr>
        <w:pStyle w:val="BodyText"/>
        <w:spacing w:line="240" w:lineRule="auto"/>
        <w:rPr>
          <w:rFonts w:ascii="Arial" w:hAnsi="Arial" w:eastAsia="Arial" w:cs="Arial"/>
          <w:sz w:val="20"/>
          <w:szCs w:val="20"/>
        </w:rPr>
      </w:pPr>
      <w:r w:rsidRPr="24F30496" w:rsidR="24F30496">
        <w:rPr>
          <w:rFonts w:ascii="Arial" w:hAnsi="Arial" w:eastAsia="Arial" w:cs="Arial"/>
          <w:sz w:val="20"/>
          <w:szCs w:val="20"/>
        </w:rPr>
        <w:t xml:space="preserve">Obj. 2) Develop reliable S. </w:t>
      </w:r>
      <w:proofErr w:type="spellStart"/>
      <w:r w:rsidRPr="24F30496" w:rsidR="24F30496">
        <w:rPr>
          <w:rFonts w:ascii="Arial" w:hAnsi="Arial" w:eastAsia="Arial" w:cs="Arial"/>
          <w:sz w:val="20"/>
          <w:szCs w:val="20"/>
        </w:rPr>
        <w:t>sclerotiorum</w:t>
      </w:r>
      <w:proofErr w:type="spellEnd"/>
      <w:r w:rsidRPr="24F30496" w:rsidR="24F30496">
        <w:rPr>
          <w:rFonts w:ascii="Arial" w:hAnsi="Arial" w:eastAsia="Arial" w:cs="Arial"/>
          <w:sz w:val="20"/>
          <w:szCs w:val="20"/>
        </w:rPr>
        <w:t xml:space="preserve"> nurseries for future SSR field trials (continuing)</w:t>
      </w:r>
    </w:p>
    <w:p w:rsidRPr="001D7484" w:rsidR="005C6B5A" w:rsidP="24F30496" w:rsidRDefault="005C6B5A" w14:paraId="0AC19341" w14:textId="77777777" w14:noSpellErr="1">
      <w:pPr>
        <w:pStyle w:val="BodyText"/>
        <w:spacing w:before="1" w:line="240" w:lineRule="auto"/>
        <w:rPr>
          <w:rFonts w:ascii="Arial" w:hAnsi="Arial" w:eastAsia="Arial" w:cs="Arial"/>
          <w:sz w:val="22"/>
          <w:szCs w:val="22"/>
        </w:rPr>
      </w:pPr>
    </w:p>
    <w:p w:rsidRPr="001D7484" w:rsidR="005C6B5A" w:rsidP="24F30496" w:rsidRDefault="005C6B5A" w14:paraId="0727B382" w14:textId="1AB09FB0">
      <w:pPr>
        <w:pStyle w:val="BodyText"/>
        <w:spacing w:before="10" w:line="240" w:lineRule="auto"/>
        <w:rPr>
          <w:rFonts w:ascii="Arial" w:hAnsi="Arial" w:eastAsia="Arial" w:cs="Arial"/>
          <w:b w:val="1"/>
          <w:bCs w:val="1"/>
          <w:i w:val="1"/>
          <w:iCs w:val="1"/>
          <w:sz w:val="18"/>
          <w:szCs w:val="18"/>
          <w:u w:val="single"/>
        </w:rPr>
      </w:pPr>
      <w:r w:rsidRPr="24F30496" w:rsidR="24F30496">
        <w:rPr>
          <w:rFonts w:ascii="Arial" w:hAnsi="Arial" w:eastAsia="Arial" w:cs="Arial"/>
          <w:b w:val="1"/>
          <w:bCs w:val="1"/>
          <w:i w:val="1"/>
          <w:iCs w:val="1"/>
          <w:sz w:val="18"/>
          <w:szCs w:val="18"/>
          <w:u w:val="single"/>
        </w:rPr>
        <w:t xml:space="preserve">Results: </w:t>
      </w:r>
    </w:p>
    <w:p w:rsidRPr="001D7484" w:rsidR="005C6B5A" w:rsidP="24F30496" w:rsidRDefault="005C6B5A" w14:paraId="4E240C69" w14:textId="48EBB54D">
      <w:pPr>
        <w:spacing w:before="10" w:line="240" w:lineRule="auto"/>
        <w:rPr>
          <w:rFonts w:ascii="Arial" w:hAnsi="Arial" w:eastAsia="Arial" w:cs="Arial"/>
          <w:b w:val="1"/>
          <w:bCs w:val="1"/>
          <w:noProof w:val="0"/>
          <w:color w:val="000000" w:themeColor="text1" w:themeTint="FF" w:themeShade="FF"/>
          <w:sz w:val="19"/>
          <w:szCs w:val="19"/>
          <w:lang w:val="en-US"/>
        </w:rPr>
      </w:pPr>
      <w:r w:rsidRPr="24F30496" w:rsidR="24F30496">
        <w:rPr>
          <w:rFonts w:ascii="Arial" w:hAnsi="Arial" w:eastAsia="Arial" w:cs="Arial"/>
          <w:b w:val="1"/>
          <w:bCs w:val="1"/>
          <w:noProof w:val="0"/>
          <w:color w:val="000000" w:themeColor="text1" w:themeTint="FF" w:themeShade="FF"/>
          <w:sz w:val="19"/>
          <w:szCs w:val="19"/>
          <w:lang w:val="en-US"/>
        </w:rPr>
        <w:t>1. GOAL: Define relationship between canopy architecture and SSR development</w:t>
      </w:r>
    </w:p>
    <w:p w:rsidRPr="001D7484" w:rsidR="005C6B5A" w:rsidP="24F30496" w:rsidRDefault="005C6B5A" w14:paraId="68325DBE" w14:textId="09ADE7DE">
      <w:pPr>
        <w:spacing w:before="10" w:line="240" w:lineRule="auto"/>
        <w:rPr>
          <w:rFonts w:ascii="Arial" w:hAnsi="Arial" w:eastAsia="Arial" w:cs="Arial"/>
          <w:b w:val="1"/>
          <w:bCs w:val="1"/>
          <w:noProof w:val="0"/>
          <w:color w:val="000000" w:themeColor="text1" w:themeTint="FF" w:themeShade="FF"/>
          <w:sz w:val="19"/>
          <w:szCs w:val="19"/>
          <w:lang w:val="en-US"/>
        </w:rPr>
      </w:pPr>
      <w:r w:rsidRPr="24F30496" w:rsidR="24F30496">
        <w:rPr>
          <w:rFonts w:ascii="Arial" w:hAnsi="Arial" w:eastAsia="Arial" w:cs="Arial"/>
          <w:b w:val="1"/>
          <w:bCs w:val="1"/>
          <w:noProof w:val="0"/>
          <w:color w:val="000000" w:themeColor="text1" w:themeTint="FF" w:themeShade="FF"/>
          <w:sz w:val="19"/>
          <w:szCs w:val="19"/>
          <w:lang w:val="en-US"/>
        </w:rPr>
        <w:t>Obj. 1) Characterize architectural traits and canopy closure of select lines in the field.</w:t>
      </w:r>
    </w:p>
    <w:p w:rsidRPr="001D7484" w:rsidR="005C6B5A" w:rsidP="24F30496" w:rsidRDefault="005C6B5A" w14:paraId="0ED726D8" w14:textId="17A8E1B5">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sz w:val="19"/>
          <w:szCs w:val="19"/>
          <w:lang w:val="en-US"/>
        </w:rPr>
        <w:t xml:space="preserve">In addition to physiological resistance, plant architecture may be important for avoiding soybean infection by </w:t>
      </w:r>
      <w:r w:rsidRPr="24F30496" w:rsidR="24F30496">
        <w:rPr>
          <w:rFonts w:ascii="Arial" w:hAnsi="Arial" w:eastAsia="Arial" w:cs="Arial"/>
          <w:i w:val="1"/>
          <w:iCs w:val="1"/>
          <w:noProof w:val="0"/>
          <w:sz w:val="19"/>
          <w:szCs w:val="19"/>
          <w:lang w:val="en-US"/>
        </w:rPr>
        <w:t xml:space="preserve">S. </w:t>
      </w:r>
      <w:proofErr w:type="spellStart"/>
      <w:r w:rsidRPr="24F30496" w:rsidR="24F30496">
        <w:rPr>
          <w:rFonts w:ascii="Arial" w:hAnsi="Arial" w:eastAsia="Arial" w:cs="Arial"/>
          <w:i w:val="1"/>
          <w:iCs w:val="1"/>
          <w:noProof w:val="0"/>
          <w:sz w:val="19"/>
          <w:szCs w:val="19"/>
          <w:lang w:val="en-US"/>
        </w:rPr>
        <w:t>sclerotiorum</w:t>
      </w:r>
      <w:proofErr w:type="spellEnd"/>
      <w:r w:rsidRPr="24F30496" w:rsidR="24F30496">
        <w:rPr>
          <w:rFonts w:ascii="Arial" w:hAnsi="Arial" w:eastAsia="Arial" w:cs="Arial"/>
          <w:i w:val="1"/>
          <w:iCs w:val="1"/>
          <w:noProof w:val="0"/>
          <w:sz w:val="19"/>
          <w:szCs w:val="19"/>
          <w:lang w:val="en-US"/>
        </w:rPr>
        <w:t xml:space="preserve"> </w:t>
      </w:r>
      <w:r w:rsidRPr="24F30496" w:rsidR="24F30496">
        <w:rPr>
          <w:rFonts w:ascii="Arial" w:hAnsi="Arial" w:eastAsia="Arial" w:cs="Arial"/>
          <w:noProof w:val="0"/>
          <w:sz w:val="19"/>
          <w:szCs w:val="19"/>
          <w:lang w:val="en-US"/>
        </w:rPr>
        <w:t xml:space="preserve">in the field. Formation of apothecia, which bear ascospores for infection, is influenced by moisture and light (quality and quantity). </w:t>
      </w:r>
      <w:r w:rsidRPr="24F30496" w:rsidR="24F30496">
        <w:rPr>
          <w:rFonts w:ascii="Arial" w:hAnsi="Arial" w:eastAsia="Arial" w:cs="Arial"/>
          <w:noProof w:val="0"/>
          <w:color w:val="000000" w:themeColor="text1" w:themeTint="FF" w:themeShade="FF"/>
          <w:sz w:val="19"/>
          <w:szCs w:val="19"/>
          <w:lang w:val="en-US"/>
        </w:rPr>
        <w:t>This spring, we used differential light data, canopy closure and phenotypic traits including petiole slope, internode slope, and leaf area to narrow down lines for greenhouse and field evaluations in 2023. According to literature 50% canopy closure is when peak apothecia formation is observed. Canopy closure data from 2022 is shown in figure 1 for the lines chosen.</w:t>
      </w:r>
    </w:p>
    <w:p w:rsidRPr="001D7484" w:rsidR="005C6B5A" w:rsidP="24F30496" w:rsidRDefault="005C6B5A" w14:paraId="1428CAE5" w14:textId="539F83A4">
      <w:pPr>
        <w:pStyle w:val="Normal"/>
        <w:spacing w:before="10" w:line="240" w:lineRule="auto"/>
        <w:rPr>
          <w:rFonts w:ascii="Arial" w:hAnsi="Arial" w:eastAsia="Arial" w:cs="Arial"/>
          <w:sz w:val="22"/>
          <w:szCs w:val="22"/>
        </w:rPr>
      </w:pPr>
      <w:r>
        <w:drawing>
          <wp:inline wp14:editId="0FF6FF05" wp14:anchorId="2EF7B719">
            <wp:extent cx="2038350" cy="1638300"/>
            <wp:effectExtent l="0" t="0" r="0" b="0"/>
            <wp:docPr id="2093909459" name="" title=""/>
            <wp:cNvGraphicFramePr>
              <a:graphicFrameLocks noChangeAspect="1"/>
            </wp:cNvGraphicFramePr>
            <a:graphic>
              <a:graphicData uri="http://schemas.openxmlformats.org/drawingml/2006/picture">
                <pic:pic>
                  <pic:nvPicPr>
                    <pic:cNvPr id="0" name=""/>
                    <pic:cNvPicPr/>
                  </pic:nvPicPr>
                  <pic:blipFill>
                    <a:blip r:embed="R3aa343705a8940b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038350" cy="1638300"/>
                    </a:xfrm>
                    <a:prstGeom prst="rect">
                      <a:avLst/>
                    </a:prstGeom>
                  </pic:spPr>
                </pic:pic>
              </a:graphicData>
            </a:graphic>
          </wp:inline>
        </w:drawing>
      </w:r>
      <w:r>
        <w:drawing>
          <wp:inline wp14:editId="29258EAF" wp14:anchorId="1144E35D">
            <wp:extent cx="1666875" cy="1533525"/>
            <wp:effectExtent l="0" t="0" r="0" b="0"/>
            <wp:docPr id="1585439186" name="" title=""/>
            <wp:cNvGraphicFramePr>
              <a:graphicFrameLocks noChangeAspect="1"/>
            </wp:cNvGraphicFramePr>
            <a:graphic>
              <a:graphicData uri="http://schemas.openxmlformats.org/drawingml/2006/picture">
                <pic:pic>
                  <pic:nvPicPr>
                    <pic:cNvPr id="0" name=""/>
                    <pic:cNvPicPr/>
                  </pic:nvPicPr>
                  <pic:blipFill>
                    <a:blip r:embed="Rf6561aea7dca4d3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666875" cy="1533525"/>
                    </a:xfrm>
                    <a:prstGeom prst="rect">
                      <a:avLst/>
                    </a:prstGeom>
                  </pic:spPr>
                </pic:pic>
              </a:graphicData>
            </a:graphic>
          </wp:inline>
        </w:drawing>
      </w:r>
    </w:p>
    <w:p w:rsidRPr="001D7484" w:rsidR="005C6B5A" w:rsidP="24F30496" w:rsidRDefault="005C6B5A" w14:paraId="537AC152" w14:textId="1CFB3664">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Figure 1. Average date of canopy closure in 2022 for 20 lines with 2 replicates per line.</w:t>
      </w:r>
    </w:p>
    <w:p w:rsidRPr="001D7484" w:rsidR="005C6B5A" w:rsidP="24F30496" w:rsidRDefault="005C6B5A" w14:paraId="371FED18" w14:textId="5AAC6A86">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56141647" w14:textId="681865D6">
      <w:pPr>
        <w:spacing w:before="10" w:line="240" w:lineRule="auto"/>
        <w:rPr>
          <w:rFonts w:ascii="Arial" w:hAnsi="Arial" w:eastAsia="Arial" w:cs="Arial"/>
          <w:noProof w:val="0"/>
          <w:sz w:val="19"/>
          <w:szCs w:val="19"/>
          <w:lang w:val="en-US"/>
        </w:rPr>
      </w:pPr>
      <w:r w:rsidRPr="24F30496" w:rsidR="24F30496">
        <w:rPr>
          <w:rFonts w:ascii="Arial" w:hAnsi="Arial" w:eastAsia="Arial" w:cs="Arial"/>
          <w:noProof w:val="0"/>
          <w:color w:val="000000" w:themeColor="text1" w:themeTint="FF" w:themeShade="FF"/>
          <w:sz w:val="19"/>
          <w:szCs w:val="19"/>
          <w:lang w:val="en-US"/>
        </w:rPr>
        <w:t>Lines were chosen based on having variation amongst phenotypic traits. High petiole slope and internode slope means more light penetration through plants. Figure 2 shows phenotypic traits for the final 20 lines which have been selected.</w:t>
      </w:r>
      <w:r w:rsidRPr="24F30496" w:rsidR="24F30496">
        <w:rPr>
          <w:rFonts w:ascii="Arial" w:hAnsi="Arial" w:eastAsia="Arial" w:cs="Arial"/>
          <w:noProof w:val="0"/>
          <w:sz w:val="19"/>
          <w:szCs w:val="19"/>
          <w:lang w:val="en-US"/>
        </w:rPr>
        <w:t xml:space="preserve"> </w:t>
      </w:r>
    </w:p>
    <w:p w:rsidRPr="001D7484" w:rsidR="005C6B5A" w:rsidP="24F30496" w:rsidRDefault="005C6B5A" w14:paraId="69D21242" w14:textId="154595E6">
      <w:pPr>
        <w:pStyle w:val="Normal"/>
        <w:spacing w:before="10" w:line="240" w:lineRule="auto"/>
        <w:rPr>
          <w:rFonts w:ascii="Arial" w:hAnsi="Arial" w:eastAsia="Arial" w:cs="Arial"/>
          <w:noProof w:val="0"/>
          <w:sz w:val="22"/>
          <w:szCs w:val="22"/>
          <w:lang w:val="en-US"/>
        </w:rPr>
      </w:pPr>
      <w:r w:rsidRPr="24F30496" w:rsidR="24F30496">
        <w:rPr>
          <w:rFonts w:ascii="Arial" w:hAnsi="Arial" w:eastAsia="Arial" w:cs="Arial"/>
          <w:noProof w:val="0"/>
          <w:sz w:val="22"/>
          <w:szCs w:val="22"/>
          <w:lang w:val="en-US"/>
        </w:rPr>
        <w:t xml:space="preserve"> </w:t>
      </w:r>
    </w:p>
    <w:p w:rsidRPr="001D7484" w:rsidR="005C6B5A" w:rsidP="24F30496" w:rsidRDefault="005C6B5A" w14:paraId="13CEE36C" w14:textId="1D1A8449">
      <w:pPr>
        <w:pStyle w:val="Normal"/>
        <w:spacing w:before="1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drawing>
          <wp:inline wp14:editId="562DF245" wp14:anchorId="488CBFDB">
            <wp:extent cx="276225" cy="266700"/>
            <wp:effectExtent l="0" t="0" r="0" b="0"/>
            <wp:docPr id="132367457" name="" descr="Text Box" title=""/>
            <wp:cNvGraphicFramePr>
              <a:graphicFrameLocks noChangeAspect="1"/>
            </wp:cNvGraphicFramePr>
            <a:graphic>
              <a:graphicData uri="http://schemas.openxmlformats.org/drawingml/2006/picture">
                <pic:pic>
                  <pic:nvPicPr>
                    <pic:cNvPr id="0" name=""/>
                    <pic:cNvPicPr/>
                  </pic:nvPicPr>
                  <pic:blipFill>
                    <a:blip r:embed="R92713607f6ad4db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76225" cy="266700"/>
                    </a:xfrm>
                    <a:prstGeom prst="rect">
                      <a:avLst/>
                    </a:prstGeom>
                  </pic:spPr>
                </pic:pic>
              </a:graphicData>
            </a:graphic>
          </wp:inline>
        </w:drawing>
      </w:r>
      <w:r>
        <w:drawing>
          <wp:inline wp14:editId="7EB1E462" wp14:anchorId="3CDA245C">
            <wp:extent cx="2381250" cy="1885950"/>
            <wp:effectExtent l="0" t="0" r="0" b="0"/>
            <wp:docPr id="934860015" name="" title=""/>
            <wp:cNvGraphicFramePr>
              <a:graphicFrameLocks noChangeAspect="1"/>
            </wp:cNvGraphicFramePr>
            <a:graphic>
              <a:graphicData uri="http://schemas.openxmlformats.org/drawingml/2006/picture">
                <pic:pic>
                  <pic:nvPicPr>
                    <pic:cNvPr id="0" name=""/>
                    <pic:cNvPicPr/>
                  </pic:nvPicPr>
                  <pic:blipFill>
                    <a:blip r:embed="Rf7b01cd4184349d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381250" cy="1885950"/>
                    </a:xfrm>
                    <a:prstGeom prst="rect">
                      <a:avLst/>
                    </a:prstGeom>
                  </pic:spPr>
                </pic:pic>
              </a:graphicData>
            </a:graphic>
          </wp:inline>
        </w:drawing>
      </w:r>
      <w:r>
        <w:drawing>
          <wp:inline wp14:editId="72AF2191" wp14:anchorId="76CDD078">
            <wp:extent cx="276225" cy="266700"/>
            <wp:effectExtent l="0" t="0" r="0" b="0"/>
            <wp:docPr id="1245528346" name="" descr="Text Box" title=""/>
            <wp:cNvGraphicFramePr>
              <a:graphicFrameLocks noChangeAspect="1"/>
            </wp:cNvGraphicFramePr>
            <a:graphic>
              <a:graphicData uri="http://schemas.openxmlformats.org/drawingml/2006/picture">
                <pic:pic>
                  <pic:nvPicPr>
                    <pic:cNvPr id="0" name=""/>
                    <pic:cNvPicPr/>
                  </pic:nvPicPr>
                  <pic:blipFill>
                    <a:blip r:embed="R64fa85e5e92247d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76225" cy="266700"/>
                    </a:xfrm>
                    <a:prstGeom prst="rect">
                      <a:avLst/>
                    </a:prstGeom>
                  </pic:spPr>
                </pic:pic>
              </a:graphicData>
            </a:graphic>
          </wp:inline>
        </w:drawing>
      </w:r>
      <w:r>
        <w:drawing>
          <wp:inline wp14:editId="733CCEAB" wp14:anchorId="4A7CFA0F">
            <wp:extent cx="2647950" cy="2019300"/>
            <wp:effectExtent l="0" t="0" r="0" b="0"/>
            <wp:docPr id="836647556" name="" title=""/>
            <wp:cNvGraphicFramePr>
              <a:graphicFrameLocks noChangeAspect="1"/>
            </wp:cNvGraphicFramePr>
            <a:graphic>
              <a:graphicData uri="http://schemas.openxmlformats.org/drawingml/2006/picture">
                <pic:pic>
                  <pic:nvPicPr>
                    <pic:cNvPr id="0" name=""/>
                    <pic:cNvPicPr/>
                  </pic:nvPicPr>
                  <pic:blipFill>
                    <a:blip r:embed="R58b132b6237f403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647950" cy="2019300"/>
                    </a:xfrm>
                    <a:prstGeom prst="rect">
                      <a:avLst/>
                    </a:prstGeom>
                  </pic:spPr>
                </pic:pic>
              </a:graphicData>
            </a:graphic>
          </wp:inline>
        </w:drawing>
      </w:r>
    </w:p>
    <w:p w:rsidRPr="001D7484" w:rsidR="005C6B5A" w:rsidP="24F30496" w:rsidRDefault="005C6B5A" w14:paraId="56704059" w14:textId="7194BE4F">
      <w:pPr>
        <w:pStyle w:val="Normal"/>
        <w:spacing w:before="10" w:line="240" w:lineRule="auto"/>
        <w:rPr>
          <w:rFonts w:ascii="Arial" w:hAnsi="Arial" w:eastAsia="Arial" w:cs="Arial"/>
          <w:sz w:val="22"/>
          <w:szCs w:val="22"/>
        </w:rPr>
      </w:pPr>
      <w:r>
        <w:drawing>
          <wp:inline wp14:editId="4C213C12" wp14:anchorId="22862465">
            <wp:extent cx="276225" cy="266700"/>
            <wp:effectExtent l="0" t="0" r="0" b="0"/>
            <wp:docPr id="1300236053" name="" descr="Text Box" title=""/>
            <wp:cNvGraphicFramePr>
              <a:graphicFrameLocks noChangeAspect="1"/>
            </wp:cNvGraphicFramePr>
            <a:graphic>
              <a:graphicData uri="http://schemas.openxmlformats.org/drawingml/2006/picture">
                <pic:pic>
                  <pic:nvPicPr>
                    <pic:cNvPr id="0" name=""/>
                    <pic:cNvPicPr/>
                  </pic:nvPicPr>
                  <pic:blipFill>
                    <a:blip r:embed="R94f61b6f28094d6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76225" cy="266700"/>
                    </a:xfrm>
                    <a:prstGeom prst="rect">
                      <a:avLst/>
                    </a:prstGeom>
                  </pic:spPr>
                </pic:pic>
              </a:graphicData>
            </a:graphic>
          </wp:inline>
        </w:drawing>
      </w:r>
      <w:r>
        <w:drawing>
          <wp:inline wp14:editId="04078405" wp14:anchorId="15303E80">
            <wp:extent cx="2505075" cy="1442578"/>
            <wp:effectExtent l="0" t="0" r="0" b="0"/>
            <wp:docPr id="1437499383" name="" title=""/>
            <wp:cNvGraphicFramePr>
              <a:graphicFrameLocks noChangeAspect="1"/>
            </wp:cNvGraphicFramePr>
            <a:graphic>
              <a:graphicData uri="http://schemas.openxmlformats.org/drawingml/2006/picture">
                <pic:pic>
                  <pic:nvPicPr>
                    <pic:cNvPr id="0" name=""/>
                    <pic:cNvPicPr/>
                  </pic:nvPicPr>
                  <pic:blipFill>
                    <a:blip r:embed="R58642bc1718d439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505075" cy="1442578"/>
                    </a:xfrm>
                    <a:prstGeom prst="rect">
                      <a:avLst/>
                    </a:prstGeom>
                  </pic:spPr>
                </pic:pic>
              </a:graphicData>
            </a:graphic>
          </wp:inline>
        </w:drawing>
      </w:r>
      <w:r>
        <w:drawing>
          <wp:inline wp14:editId="5B2DE1D4" wp14:anchorId="6679D90D">
            <wp:extent cx="276225" cy="266700"/>
            <wp:effectExtent l="0" t="0" r="0" b="0"/>
            <wp:docPr id="1665993616" name="" descr="Text Box" title=""/>
            <wp:cNvGraphicFramePr>
              <a:graphicFrameLocks noChangeAspect="1"/>
            </wp:cNvGraphicFramePr>
            <a:graphic>
              <a:graphicData uri="http://schemas.openxmlformats.org/drawingml/2006/picture">
                <pic:pic>
                  <pic:nvPicPr>
                    <pic:cNvPr id="0" name=""/>
                    <pic:cNvPicPr/>
                  </pic:nvPicPr>
                  <pic:blipFill>
                    <a:blip r:embed="R94b25533cbec4d4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76225" cy="266700"/>
                    </a:xfrm>
                    <a:prstGeom prst="rect">
                      <a:avLst/>
                    </a:prstGeom>
                  </pic:spPr>
                </pic:pic>
              </a:graphicData>
            </a:graphic>
          </wp:inline>
        </w:drawing>
      </w:r>
      <w:r>
        <w:drawing>
          <wp:inline wp14:editId="6000BB65" wp14:anchorId="1A5C0ACF">
            <wp:extent cx="2628900" cy="1465022"/>
            <wp:effectExtent l="0" t="0" r="0" b="0"/>
            <wp:docPr id="318632163" name="" title=""/>
            <wp:cNvGraphicFramePr>
              <a:graphicFrameLocks noChangeAspect="1"/>
            </wp:cNvGraphicFramePr>
            <a:graphic>
              <a:graphicData uri="http://schemas.openxmlformats.org/drawingml/2006/picture">
                <pic:pic>
                  <pic:nvPicPr>
                    <pic:cNvPr id="0" name=""/>
                    <pic:cNvPicPr/>
                  </pic:nvPicPr>
                  <pic:blipFill>
                    <a:blip r:embed="R8372da9d2dac425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628900" cy="1465022"/>
                    </a:xfrm>
                    <a:prstGeom prst="rect">
                      <a:avLst/>
                    </a:prstGeom>
                  </pic:spPr>
                </pic:pic>
              </a:graphicData>
            </a:graphic>
          </wp:inline>
        </w:drawing>
      </w:r>
    </w:p>
    <w:p w:rsidRPr="001D7484" w:rsidR="005C6B5A" w:rsidP="24F30496" w:rsidRDefault="005C6B5A" w14:paraId="6E021A5E" w14:textId="7E6250C4">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Figure 2. Plant architecture traits mean A. slope petiole length between 1st and 4th and 1st and 5th, B. internode slope length between 1st and 4th and 1st and 5th, C. leaflet length: width ratio, and D. leaflet area for 20 lines with 2 replicates per line and 6 plants per replicate.</w:t>
      </w:r>
    </w:p>
    <w:p w:rsidRPr="001D7484" w:rsidR="005C6B5A" w:rsidP="24F30496" w:rsidRDefault="005C6B5A" w14:paraId="5EA274E2" w14:textId="1D4E75D3">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3E960592" w14:textId="6A03472D">
      <w:pPr>
        <w:spacing w:before="10" w:line="240" w:lineRule="auto"/>
        <w:rPr>
          <w:rFonts w:ascii="Arial" w:hAnsi="Arial" w:eastAsia="Arial" w:cs="Arial"/>
          <w:noProof w:val="0"/>
          <w:sz w:val="19"/>
          <w:szCs w:val="19"/>
          <w:lang w:val="en-US"/>
        </w:rPr>
      </w:pPr>
      <w:r w:rsidRPr="24F30496" w:rsidR="24F30496">
        <w:rPr>
          <w:rFonts w:ascii="Arial" w:hAnsi="Arial" w:eastAsia="Arial" w:cs="Arial"/>
          <w:noProof w:val="0"/>
          <w:sz w:val="19"/>
          <w:szCs w:val="19"/>
          <w:lang w:val="en-US"/>
        </w:rPr>
        <w:t>Phenotypic data for the 2023 field is being analyzed through images taken at R4 to compare with 2022 data. Canopy closure via drone imaging in 2023 started at early flowering through closure on a weekly basis by the Lorenz lab.</w:t>
      </w:r>
    </w:p>
    <w:p w:rsidRPr="001D7484" w:rsidR="005C6B5A" w:rsidP="24F30496" w:rsidRDefault="005C6B5A" w14:paraId="1B2E607E" w14:textId="0D09151F">
      <w:pPr>
        <w:spacing w:before="10" w:line="240" w:lineRule="auto"/>
        <w:rPr>
          <w:rFonts w:ascii="Arial" w:hAnsi="Arial" w:eastAsia="Arial" w:cs="Arial"/>
          <w:noProof w:val="0"/>
          <w:sz w:val="19"/>
          <w:szCs w:val="19"/>
          <w:lang w:val="en-US"/>
        </w:rPr>
      </w:pPr>
      <w:r w:rsidRPr="24F30496" w:rsidR="24F30496">
        <w:rPr>
          <w:rFonts w:ascii="Arial" w:hAnsi="Arial" w:eastAsia="Arial" w:cs="Arial"/>
          <w:noProof w:val="0"/>
          <w:sz w:val="19"/>
          <w:szCs w:val="19"/>
          <w:lang w:val="en-US"/>
        </w:rPr>
        <w:t xml:space="preserve"> </w:t>
      </w:r>
    </w:p>
    <w:p w:rsidRPr="001D7484" w:rsidR="005C6B5A" w:rsidP="24F30496" w:rsidRDefault="005C6B5A" w14:paraId="7CDA2D00" w14:textId="1013E0E2">
      <w:pPr>
        <w:spacing w:before="10" w:line="240" w:lineRule="auto"/>
        <w:rPr>
          <w:rFonts w:ascii="Arial" w:hAnsi="Arial" w:eastAsia="Arial" w:cs="Arial"/>
          <w:b w:val="1"/>
          <w:bCs w:val="1"/>
          <w:noProof w:val="0"/>
          <w:color w:val="000000" w:themeColor="text1" w:themeTint="FF" w:themeShade="FF"/>
          <w:sz w:val="19"/>
          <w:szCs w:val="19"/>
          <w:lang w:val="en-US"/>
        </w:rPr>
      </w:pPr>
      <w:r w:rsidRPr="24F30496" w:rsidR="24F30496">
        <w:rPr>
          <w:rFonts w:ascii="Arial" w:hAnsi="Arial" w:eastAsia="Arial" w:cs="Arial"/>
          <w:b w:val="1"/>
          <w:bCs w:val="1"/>
          <w:noProof w:val="0"/>
          <w:color w:val="000000" w:themeColor="text1" w:themeTint="FF" w:themeShade="FF"/>
          <w:sz w:val="19"/>
          <w:szCs w:val="19"/>
          <w:lang w:val="en-US"/>
        </w:rPr>
        <w:t>Obj. 2) Define the genetic, SSR resistance of architecturally diverse lines</w:t>
      </w:r>
    </w:p>
    <w:p w:rsidRPr="001D7484" w:rsidR="005C6B5A" w:rsidP="24F30496" w:rsidRDefault="005C6B5A" w14:paraId="4D5DE38E" w14:textId="604B6661">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Seed was harvested the week of October 9</w:t>
      </w:r>
      <w:r w:rsidRPr="24F30496" w:rsidR="24F30496">
        <w:rPr>
          <w:rFonts w:ascii="Arial" w:hAnsi="Arial" w:eastAsia="Arial" w:cs="Arial"/>
          <w:noProof w:val="0"/>
          <w:color w:val="000000" w:themeColor="text1" w:themeTint="FF" w:themeShade="FF"/>
          <w:sz w:val="19"/>
          <w:szCs w:val="19"/>
          <w:vertAlign w:val="superscript"/>
          <w:lang w:val="en-US"/>
        </w:rPr>
        <w:t>th</w:t>
      </w:r>
      <w:r w:rsidRPr="24F30496" w:rsidR="24F30496">
        <w:rPr>
          <w:rFonts w:ascii="Arial" w:hAnsi="Arial" w:eastAsia="Arial" w:cs="Arial"/>
          <w:noProof w:val="0"/>
          <w:color w:val="000000" w:themeColor="text1" w:themeTint="FF" w:themeShade="FF"/>
          <w:sz w:val="19"/>
          <w:szCs w:val="19"/>
          <w:lang w:val="en-US"/>
        </w:rPr>
        <w:t xml:space="preserve">, 2023. All 20 architecture lines will be evaluated along with a highly susceptible (Dwight) and moderately resistant (51-23) checks found </w:t>
      </w:r>
      <w:r w:rsidRPr="24F30496" w:rsidR="24F30496">
        <w:rPr>
          <w:rFonts w:ascii="Arial" w:hAnsi="Arial" w:eastAsia="Arial" w:cs="Arial"/>
          <w:noProof w:val="0"/>
          <w:sz w:val="19"/>
          <w:szCs w:val="19"/>
          <w:lang w:val="en-US"/>
        </w:rPr>
        <w:t xml:space="preserve">by Dr. Damon Smith’s Lab at University of Wisconsin, Madison. These will be challenged using the cut petiole technique for sclerotia isolates with varying levels of aggressiveness from goal 2. The isolates being used are </w:t>
      </w:r>
      <w:proofErr w:type="spellStart"/>
      <w:r w:rsidRPr="24F30496" w:rsidR="24F30496">
        <w:rPr>
          <w:rFonts w:ascii="Arial" w:hAnsi="Arial" w:eastAsia="Arial" w:cs="Arial"/>
          <w:noProof w:val="0"/>
          <w:sz w:val="19"/>
          <w:szCs w:val="19"/>
          <w:lang w:val="en-US"/>
        </w:rPr>
        <w:t>Ss_Potter</w:t>
      </w:r>
      <w:proofErr w:type="spellEnd"/>
      <w:r w:rsidRPr="24F30496" w:rsidR="24F30496">
        <w:rPr>
          <w:rFonts w:ascii="Arial" w:hAnsi="Arial" w:eastAsia="Arial" w:cs="Arial"/>
          <w:noProof w:val="0"/>
          <w:sz w:val="19"/>
          <w:szCs w:val="19"/>
          <w:lang w:val="en-US"/>
        </w:rPr>
        <w:t xml:space="preserve">, </w:t>
      </w:r>
      <w:r w:rsidRPr="24F30496" w:rsidR="24F30496">
        <w:rPr>
          <w:rFonts w:ascii="Arial" w:hAnsi="Arial" w:eastAsia="Arial" w:cs="Arial"/>
          <w:noProof w:val="0"/>
          <w:color w:val="000000" w:themeColor="text1" w:themeTint="FF" w:themeShade="FF"/>
          <w:sz w:val="19"/>
          <w:szCs w:val="19"/>
          <w:lang w:val="en-US"/>
        </w:rPr>
        <w:t>MNSS6, and MNSS4. Pots containing 3 plants will be inoculated with 4 pots per soybean line for each isolate (12 plants per treatment). The first planting is scheduled for 11/2 with inoculation estimated for early December (V4). This will be repeated 1-2 more times to evaluate genetic resistance of lines.</w:t>
      </w:r>
    </w:p>
    <w:p w:rsidRPr="001D7484" w:rsidR="005C6B5A" w:rsidP="24F30496" w:rsidRDefault="005C6B5A" w14:paraId="390FD88F" w14:textId="371EE80B">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1D989D6A" w14:textId="2C4AFAB0">
      <w:pPr>
        <w:spacing w:before="10" w:line="240" w:lineRule="auto"/>
        <w:rPr>
          <w:rFonts w:ascii="Arial" w:hAnsi="Arial" w:eastAsia="Arial" w:cs="Arial"/>
          <w:b w:val="1"/>
          <w:bCs w:val="1"/>
          <w:noProof w:val="0"/>
          <w:color w:val="000000" w:themeColor="text1" w:themeTint="FF" w:themeShade="FF"/>
          <w:sz w:val="19"/>
          <w:szCs w:val="19"/>
          <w:lang w:val="en-US"/>
        </w:rPr>
      </w:pPr>
      <w:r w:rsidRPr="24F30496" w:rsidR="24F30496">
        <w:rPr>
          <w:rFonts w:ascii="Arial" w:hAnsi="Arial" w:eastAsia="Arial" w:cs="Arial"/>
          <w:b w:val="1"/>
          <w:bCs w:val="1"/>
          <w:noProof w:val="0"/>
          <w:color w:val="000000" w:themeColor="text1" w:themeTint="FF" w:themeShade="FF"/>
          <w:sz w:val="19"/>
          <w:szCs w:val="19"/>
          <w:lang w:val="en-US"/>
        </w:rPr>
        <w:t>Obj. 3) Measure light penetration along with apothecia and SSR development</w:t>
      </w:r>
    </w:p>
    <w:p w:rsidRPr="001D7484" w:rsidR="005C6B5A" w:rsidP="24F30496" w:rsidRDefault="005C6B5A" w14:paraId="0D557E42" w14:textId="0E7F0796">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UVB measurements for three distances between the base of the plant and center of the row are shown from three dates in 2022.  On the first two dates </w:t>
      </w:r>
      <w:proofErr w:type="gramStart"/>
      <w:r w:rsidRPr="24F30496" w:rsidR="24F30496">
        <w:rPr>
          <w:rFonts w:ascii="Arial" w:hAnsi="Arial" w:eastAsia="Arial" w:cs="Arial"/>
          <w:noProof w:val="0"/>
          <w:color w:val="000000" w:themeColor="text1" w:themeTint="FF" w:themeShade="FF"/>
          <w:sz w:val="19"/>
          <w:szCs w:val="19"/>
          <w:lang w:val="en-US"/>
        </w:rPr>
        <w:t>not</w:t>
      </w:r>
      <w:proofErr w:type="gramEnd"/>
      <w:r w:rsidRPr="24F30496" w:rsidR="24F30496">
        <w:rPr>
          <w:rFonts w:ascii="Arial" w:hAnsi="Arial" w:eastAsia="Arial" w:cs="Arial"/>
          <w:noProof w:val="0"/>
          <w:color w:val="000000" w:themeColor="text1" w:themeTint="FF" w:themeShade="FF"/>
          <w:sz w:val="19"/>
          <w:szCs w:val="19"/>
          <w:lang w:val="en-US"/>
        </w:rPr>
        <w:t xml:space="preserve"> all lines are represented.</w:t>
      </w:r>
    </w:p>
    <w:p w:rsidRPr="001D7484" w:rsidR="005C6B5A" w:rsidP="24F30496" w:rsidRDefault="005C6B5A" w14:paraId="368BF5FC" w14:textId="64273BB9">
      <w:pPr>
        <w:spacing w:before="10" w:line="240" w:lineRule="auto"/>
        <w:rPr>
          <w:rFonts w:ascii="Arial" w:hAnsi="Arial" w:eastAsia="Arial" w:cs="Arial"/>
          <w:sz w:val="19"/>
          <w:szCs w:val="19"/>
        </w:rPr>
      </w:pPr>
    </w:p>
    <w:p w:rsidRPr="001D7484" w:rsidR="005C6B5A" w:rsidP="24F30496" w:rsidRDefault="005C6B5A" w14:paraId="4E71F7F0" w14:textId="740C8CBF">
      <w:pPr>
        <w:pStyle w:val="Normal"/>
        <w:spacing w:before="10" w:line="240" w:lineRule="auto"/>
        <w:rPr>
          <w:rFonts w:ascii="Arial" w:hAnsi="Arial" w:eastAsia="Arial" w:cs="Arial"/>
          <w:sz w:val="22"/>
          <w:szCs w:val="22"/>
        </w:rPr>
      </w:pPr>
      <w:r>
        <w:drawing>
          <wp:inline wp14:editId="5E40AB94" wp14:anchorId="440598DB">
            <wp:extent cx="5514975" cy="1447681"/>
            <wp:effectExtent l="0" t="0" r="0" b="0"/>
            <wp:docPr id="2136206464" name="" title=""/>
            <wp:cNvGraphicFramePr>
              <a:graphicFrameLocks noChangeAspect="1"/>
            </wp:cNvGraphicFramePr>
            <a:graphic>
              <a:graphicData uri="http://schemas.openxmlformats.org/drawingml/2006/picture">
                <pic:pic>
                  <pic:nvPicPr>
                    <pic:cNvPr id="0" name=""/>
                    <pic:cNvPicPr/>
                  </pic:nvPicPr>
                  <pic:blipFill>
                    <a:blip r:embed="R258434470e97417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514975" cy="1447681"/>
                    </a:xfrm>
                    <a:prstGeom prst="rect">
                      <a:avLst/>
                    </a:prstGeom>
                  </pic:spPr>
                </pic:pic>
              </a:graphicData>
            </a:graphic>
          </wp:inline>
        </w:drawing>
      </w:r>
    </w:p>
    <w:p w:rsidRPr="001D7484" w:rsidR="005C6B5A" w:rsidP="24F30496" w:rsidRDefault="005C6B5A" w14:paraId="7EA138F6" w14:textId="57EA3B1E">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Figure 3. UVB intensity (µmolm-2s-1) in 2022 at 3 distances from base of plant for 20 lines with 2 replicates per line. On 7/22 and 7/28 not all lines or only one replicate was evaluated due to cloud cover ending data collection early. </w:t>
      </w:r>
    </w:p>
    <w:p w:rsidRPr="001D7484" w:rsidR="005C6B5A" w:rsidP="24F30496" w:rsidRDefault="005C6B5A" w14:paraId="4C3827DA" w14:textId="590BF7BF">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Field trials took place in Crookston and St. Paul in 2023 using the selected lines and industry bushy and upright checks. Each field was set up in a randomized complete block design with 5 reps per treatment. In St. Paul sclerotia were applied on 5/16/23 and soybean planted on 5/19/23. Crookston fields were planted on 5/25/23 and sclerotia applied on 6/14/23.</w:t>
      </w:r>
    </w:p>
    <w:p w:rsidRPr="001D7484" w:rsidR="005C6B5A" w:rsidP="24F30496" w:rsidRDefault="005C6B5A" w14:paraId="016AB8F1" w14:textId="11071C75">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16DBAA59" w14:textId="032B1D56">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We scouted for apothecia in the middle 2 rows of soybeans from late vegetative through the end of R3, when apothecia develop. Scouting in St. Paul took place on 6/29, 7/10, 7/17, and 7/31. No apothecia were found on these dates, however during phenotyping one apothecium was found on 8/3. Scouting was completed in Crookston on 7/5 but the field was starting to show severe symptoms of IDC. We suspect high temperatures and drought early in the summer may have delayed or inhibited apothecia formation.</w:t>
      </w:r>
    </w:p>
    <w:p w:rsidRPr="001D7484" w:rsidR="005C6B5A" w:rsidP="24F30496" w:rsidRDefault="005C6B5A" w14:paraId="19BF6318" w14:textId="6369CDA4">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06798EC4" w14:textId="27DF76BF">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In 2023, light measurements were taken using a UVB meter from the end of vegetative until R4. UVB captures the spectrum of wavelengths considered to be most important for apothecia. Measurements were conducted in the morning on days with no cloud cover using three distances from the base of the plant facing east. In St. Paul measurements were completed on 6/30, 7/11, and 8/1. A spectroradiometer was also used to look at visible and UVB light, but only on lines with light extremes from 2022, 3 high, 3 low, 1 medium and the industry check lines (bushy and upright) and took place in St. Paul on 7/1 and 7/28. Both UVB on all plots and spectroradiometer readings on extremes were captured on 7/6 in Crookston. 2023 data is still being analyzed.</w:t>
      </w:r>
    </w:p>
    <w:p w:rsidRPr="001D7484" w:rsidR="005C6B5A" w:rsidP="24F30496" w:rsidRDefault="005C6B5A" w14:paraId="20CEDECE" w14:textId="39D401ED">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512F4D4E" w14:textId="63DE8034">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Soil Moisture is also important for the development of apothecia. Irrigation was set up during the first week of July in St. Paul and Crookston. Moisture measurements were taken on 7/20 and 7/28 in St. Paul. Next summer, we plan to take measurements in early flowering.</w:t>
      </w:r>
    </w:p>
    <w:p w:rsidRPr="001D7484" w:rsidR="005C6B5A" w:rsidP="24F30496" w:rsidRDefault="005C6B5A" w14:paraId="7CD71820" w14:textId="1BC78C17">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6C377F07" w14:textId="05A9DFAC">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Bromophenol blue plates can detect the presence of ascospores by developing a yellow halo around spores. Plates were put into the field at a 45-degree angle upwind for 1-3 hours in the morning and incubated at room temperature for 2-3 days. Plates were in St. Paul field on 8/2 and incubated until 8/5. Halos were observed on 8/5. Next year plates will be used in early flowering. Apothecia can be present without producing spores.</w:t>
      </w:r>
    </w:p>
    <w:p w:rsidRPr="001D7484" w:rsidR="005C6B5A" w:rsidP="24F30496" w:rsidRDefault="005C6B5A" w14:paraId="577C8932" w14:textId="7F8403CE">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49657371" w14:textId="1D537980">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Senescing flowers are thought to be the entry point for ascospores. A treatment in St. Paul removed flowers within a six-foot section of middle rows 1-2 times per week from end of June to early August to test this. No disease was observed in these plots as was expected.</w:t>
      </w:r>
    </w:p>
    <w:p w:rsidRPr="001D7484" w:rsidR="005C6B5A" w:rsidP="24F30496" w:rsidRDefault="005C6B5A" w14:paraId="41F0A40C" w14:textId="4CCE89E0">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3545290F" w14:textId="1B96370B">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Disease incidence and severity was rated on 8/23 with majority of the plots at R6. Disease was found in 9 out of 110 plots.</w:t>
      </w:r>
    </w:p>
    <w:p w:rsidRPr="001D7484" w:rsidR="005C6B5A" w:rsidP="24F30496" w:rsidRDefault="005C6B5A" w14:paraId="7DA672D9" w14:textId="75C18D5B">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3BD3EAA5" w14:textId="5B3824C0">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Apothecia are being produced in the growth chamber using the </w:t>
      </w:r>
      <w:proofErr w:type="spellStart"/>
      <w:r w:rsidRPr="24F30496" w:rsidR="24F30496">
        <w:rPr>
          <w:rFonts w:ascii="Arial" w:hAnsi="Arial" w:eastAsia="Arial" w:cs="Arial"/>
          <w:noProof w:val="0"/>
          <w:color w:val="000000" w:themeColor="text1" w:themeTint="FF" w:themeShade="FF"/>
          <w:sz w:val="19"/>
          <w:szCs w:val="19"/>
          <w:lang w:val="en-US"/>
        </w:rPr>
        <w:t>Pethybridge</w:t>
      </w:r>
      <w:proofErr w:type="spellEnd"/>
      <w:r w:rsidRPr="24F30496" w:rsidR="24F30496">
        <w:rPr>
          <w:rFonts w:ascii="Arial" w:hAnsi="Arial" w:eastAsia="Arial" w:cs="Arial"/>
          <w:noProof w:val="0"/>
          <w:color w:val="000000" w:themeColor="text1" w:themeTint="FF" w:themeShade="FF"/>
          <w:sz w:val="19"/>
          <w:szCs w:val="19"/>
          <w:lang w:val="en-US"/>
        </w:rPr>
        <w:t xml:space="preserve"> protocol published on the APS Website (</w:t>
      </w:r>
      <w:r w:rsidRPr="24F30496" w:rsidR="24F30496">
        <w:rPr>
          <w:rFonts w:ascii="Arial" w:hAnsi="Arial" w:eastAsia="Arial" w:cs="Arial"/>
          <w:noProof w:val="0"/>
          <w:color w:val="000000" w:themeColor="text1" w:themeTint="FF" w:themeShade="FF"/>
          <w:sz w:val="19"/>
          <w:szCs w:val="19"/>
          <w:lang w:val="en-US"/>
        </w:rPr>
        <w:t>apsnet</w:t>
      </w:r>
      <w:r w:rsidRPr="24F30496" w:rsidR="24F30496">
        <w:rPr>
          <w:rFonts w:ascii="Arial" w:hAnsi="Arial" w:eastAsia="Arial" w:cs="Arial"/>
          <w:noProof w:val="0"/>
          <w:color w:val="000000" w:themeColor="text1" w:themeTint="FF" w:themeShade="FF"/>
          <w:sz w:val="19"/>
          <w:szCs w:val="19"/>
          <w:lang w:val="en-US"/>
        </w:rPr>
        <w:t>.org). These will be used to test different light intensities and spectrum to identify optimal light conditions for apothecia and simulate light in the field.</w:t>
      </w:r>
    </w:p>
    <w:p w:rsidRPr="001D7484" w:rsidR="005C6B5A" w:rsidP="24F30496" w:rsidRDefault="005C6B5A" w14:paraId="09AFD3E5" w14:textId="01AF04F2">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7BB9C1C9" w14:textId="1ACFFDAB">
      <w:pPr>
        <w:spacing w:before="10" w:line="240" w:lineRule="auto"/>
        <w:rPr>
          <w:rFonts w:ascii="Arial" w:hAnsi="Arial" w:eastAsia="Arial" w:cs="Arial"/>
          <w:b w:val="1"/>
          <w:bCs w:val="1"/>
          <w:noProof w:val="0"/>
          <w:color w:val="000000" w:themeColor="text1" w:themeTint="FF" w:themeShade="FF"/>
          <w:sz w:val="19"/>
          <w:szCs w:val="19"/>
          <w:lang w:val="en-US"/>
        </w:rPr>
      </w:pPr>
      <w:r w:rsidRPr="24F30496" w:rsidR="24F30496">
        <w:rPr>
          <w:rFonts w:ascii="Arial" w:hAnsi="Arial" w:eastAsia="Arial" w:cs="Arial"/>
          <w:b w:val="1"/>
          <w:bCs w:val="1"/>
          <w:noProof w:val="0"/>
          <w:color w:val="000000" w:themeColor="text1" w:themeTint="FF" w:themeShade="FF"/>
          <w:sz w:val="19"/>
          <w:szCs w:val="19"/>
          <w:lang w:val="en-US"/>
        </w:rPr>
        <w:t>2. GOAL: Develop tools to improve the efficacy of resistance screening for SSR</w:t>
      </w:r>
    </w:p>
    <w:p w:rsidRPr="001D7484" w:rsidR="005C6B5A" w:rsidP="24F30496" w:rsidRDefault="005C6B5A" w14:paraId="7821BA71" w14:textId="59DC3B34">
      <w:pPr>
        <w:spacing w:before="10" w:line="240" w:lineRule="auto"/>
        <w:rPr>
          <w:rFonts w:ascii="Arial" w:hAnsi="Arial" w:eastAsia="Arial" w:cs="Arial"/>
          <w:b w:val="1"/>
          <w:bCs w:val="1"/>
          <w:noProof w:val="0"/>
          <w:color w:val="000000" w:themeColor="text1" w:themeTint="FF" w:themeShade="FF"/>
          <w:sz w:val="19"/>
          <w:szCs w:val="19"/>
          <w:lang w:val="en-US"/>
        </w:rPr>
      </w:pPr>
      <w:r w:rsidRPr="24F30496" w:rsidR="24F30496">
        <w:rPr>
          <w:rFonts w:ascii="Arial" w:hAnsi="Arial" w:eastAsia="Arial" w:cs="Arial"/>
          <w:b w:val="1"/>
          <w:bCs w:val="1"/>
          <w:noProof w:val="0"/>
          <w:color w:val="000000" w:themeColor="text1" w:themeTint="FF" w:themeShade="FF"/>
          <w:sz w:val="19"/>
          <w:szCs w:val="19"/>
          <w:lang w:val="en-US"/>
        </w:rPr>
        <w:t xml:space="preserve">Obj. 1) Develop a S. </w:t>
      </w:r>
      <w:proofErr w:type="spellStart"/>
      <w:r w:rsidRPr="24F30496" w:rsidR="24F30496">
        <w:rPr>
          <w:rFonts w:ascii="Arial" w:hAnsi="Arial" w:eastAsia="Arial" w:cs="Arial"/>
          <w:b w:val="1"/>
          <w:bCs w:val="1"/>
          <w:noProof w:val="0"/>
          <w:color w:val="000000" w:themeColor="text1" w:themeTint="FF" w:themeShade="FF"/>
          <w:sz w:val="19"/>
          <w:szCs w:val="19"/>
          <w:lang w:val="en-US"/>
        </w:rPr>
        <w:t>sclerotiorum</w:t>
      </w:r>
      <w:proofErr w:type="spellEnd"/>
      <w:r w:rsidRPr="24F30496" w:rsidR="24F30496">
        <w:rPr>
          <w:rFonts w:ascii="Arial" w:hAnsi="Arial" w:eastAsia="Arial" w:cs="Arial"/>
          <w:b w:val="1"/>
          <w:bCs w:val="1"/>
          <w:noProof w:val="0"/>
          <w:color w:val="000000" w:themeColor="text1" w:themeTint="FF" w:themeShade="FF"/>
          <w:sz w:val="19"/>
          <w:szCs w:val="19"/>
          <w:lang w:val="en-US"/>
        </w:rPr>
        <w:t xml:space="preserve"> isolate panel to screen for variety resistance</w:t>
      </w:r>
    </w:p>
    <w:p w:rsidRPr="001D7484" w:rsidR="005C6B5A" w:rsidP="24F30496" w:rsidRDefault="005C6B5A" w14:paraId="455E7F06" w14:textId="0B95C7C3">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This study aims to characterize Minnesota isolates in soybean to establish a range of native isolates for germplasm screening and fungal biology assays in Minnesota. So far, we have developed an isolate collection of 34 isolates. Isolates were surface sterilized using 10% bleach and 70% ethanol solutions. They were then plated, bulked on carrots and stored. </w:t>
      </w:r>
    </w:p>
    <w:p w:rsidRPr="001D7484" w:rsidR="005C6B5A" w:rsidP="24F30496" w:rsidRDefault="005C6B5A" w14:paraId="18BD2F7D" w14:textId="25575F2D">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674070BB" w14:textId="3771280E">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Isolates of </w:t>
      </w:r>
      <w:r w:rsidRPr="24F30496" w:rsidR="24F30496">
        <w:rPr>
          <w:rFonts w:ascii="Arial" w:hAnsi="Arial" w:eastAsia="Arial" w:cs="Arial"/>
          <w:i w:val="1"/>
          <w:iCs w:val="1"/>
          <w:noProof w:val="0"/>
          <w:color w:val="000000" w:themeColor="text1" w:themeTint="FF" w:themeShade="FF"/>
          <w:sz w:val="19"/>
          <w:szCs w:val="19"/>
          <w:lang w:val="en-US"/>
        </w:rPr>
        <w:t xml:space="preserve">S. </w:t>
      </w:r>
      <w:proofErr w:type="spellStart"/>
      <w:r w:rsidRPr="24F30496" w:rsidR="24F30496">
        <w:rPr>
          <w:rFonts w:ascii="Arial" w:hAnsi="Arial" w:eastAsia="Arial" w:cs="Arial"/>
          <w:i w:val="1"/>
          <w:iCs w:val="1"/>
          <w:noProof w:val="0"/>
          <w:color w:val="000000" w:themeColor="text1" w:themeTint="FF" w:themeShade="FF"/>
          <w:sz w:val="19"/>
          <w:szCs w:val="19"/>
          <w:lang w:val="en-US"/>
        </w:rPr>
        <w:t>sclerotiorum</w:t>
      </w:r>
      <w:proofErr w:type="spellEnd"/>
      <w:r w:rsidRPr="24F30496" w:rsidR="24F30496">
        <w:rPr>
          <w:rFonts w:ascii="Arial" w:hAnsi="Arial" w:eastAsia="Arial" w:cs="Arial"/>
          <w:noProof w:val="0"/>
          <w:color w:val="000000" w:themeColor="text1" w:themeTint="FF" w:themeShade="FF"/>
          <w:sz w:val="19"/>
          <w:szCs w:val="19"/>
          <w:lang w:val="en-US"/>
        </w:rPr>
        <w:t xml:space="preserve"> were evaluated for their aggressiveness as indicated by lesion size on soybean over time. An “empty plug” of agar with no fungus was used as a control to show that lesions were caused by the fungus, not cutting of the petiole. Three plants were inoculated in a single pot and five pots were inoculated per isolate (15 plants per isolate) at the V4 growth stage. The treatments were arranged in a randomized complete block design in the growth chamber. Lesions were measured at 24, 96, and 120 hours post inoculation (HPI). Consistent lesions formed on plants and allowed the isolates to be compared for aggressiveness. Results of the initial screening indicated differing levels of lesion sizes and disease progression with each isolate (Figure 4). For example, MNSS4 appears to be less aggressive than MNSS6 as indicated by the lesion size (Figure 4, brown and dark blue respectively). </w:t>
      </w:r>
    </w:p>
    <w:p w:rsidRPr="001D7484" w:rsidR="005C6B5A" w:rsidP="24F30496" w:rsidRDefault="005C6B5A" w14:paraId="55F52B20" w14:textId="3A4383C5">
      <w:pPr>
        <w:pStyle w:val="Normal"/>
        <w:spacing w:before="10" w:line="240" w:lineRule="auto"/>
        <w:rPr>
          <w:rFonts w:ascii="Arial" w:hAnsi="Arial" w:eastAsia="Arial" w:cs="Arial"/>
          <w:sz w:val="22"/>
          <w:szCs w:val="22"/>
        </w:rPr>
      </w:pPr>
      <w:r>
        <w:drawing>
          <wp:inline wp14:editId="4F01595E" wp14:anchorId="61FBE4F6">
            <wp:extent cx="3086100" cy="2288858"/>
            <wp:effectExtent l="0" t="0" r="0" b="0"/>
            <wp:docPr id="902632144" name="" title=""/>
            <wp:cNvGraphicFramePr>
              <a:graphicFrameLocks noChangeAspect="1"/>
            </wp:cNvGraphicFramePr>
            <a:graphic>
              <a:graphicData uri="http://schemas.openxmlformats.org/drawingml/2006/picture">
                <pic:pic>
                  <pic:nvPicPr>
                    <pic:cNvPr id="0" name=""/>
                    <pic:cNvPicPr/>
                  </pic:nvPicPr>
                  <pic:blipFill>
                    <a:blip r:embed="R554f6359040c43f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086100" cy="2288858"/>
                    </a:xfrm>
                    <a:prstGeom prst="rect">
                      <a:avLst/>
                    </a:prstGeom>
                  </pic:spPr>
                </pic:pic>
              </a:graphicData>
            </a:graphic>
          </wp:inline>
        </w:drawing>
      </w:r>
    </w:p>
    <w:p w:rsidRPr="001D7484" w:rsidR="005C6B5A" w:rsidP="24F30496" w:rsidRDefault="005C6B5A" w14:paraId="473998BD" w14:textId="2FED9D49">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Figure 4. Lesion size on soybean from 0 to 14 days after being inoculated (DPI) with seven isolates of </w:t>
      </w:r>
      <w:r w:rsidRPr="24F30496" w:rsidR="24F30496">
        <w:rPr>
          <w:rFonts w:ascii="Arial" w:hAnsi="Arial" w:eastAsia="Arial" w:cs="Arial"/>
          <w:i w:val="1"/>
          <w:iCs w:val="1"/>
          <w:noProof w:val="0"/>
          <w:color w:val="000000" w:themeColor="text1" w:themeTint="FF" w:themeShade="FF"/>
          <w:sz w:val="19"/>
          <w:szCs w:val="19"/>
          <w:lang w:val="en-US"/>
        </w:rPr>
        <w:t xml:space="preserve">S. </w:t>
      </w:r>
      <w:proofErr w:type="spellStart"/>
      <w:r w:rsidRPr="24F30496" w:rsidR="24F30496">
        <w:rPr>
          <w:rFonts w:ascii="Arial" w:hAnsi="Arial" w:eastAsia="Arial" w:cs="Arial"/>
          <w:i w:val="1"/>
          <w:iCs w:val="1"/>
          <w:noProof w:val="0"/>
          <w:color w:val="000000" w:themeColor="text1" w:themeTint="FF" w:themeShade="FF"/>
          <w:sz w:val="19"/>
          <w:szCs w:val="19"/>
          <w:lang w:val="en-US"/>
        </w:rPr>
        <w:t>sclerotiorum</w:t>
      </w:r>
      <w:proofErr w:type="spellEnd"/>
      <w:r w:rsidRPr="24F30496" w:rsidR="24F30496">
        <w:rPr>
          <w:rFonts w:ascii="Arial" w:hAnsi="Arial" w:eastAsia="Arial" w:cs="Arial"/>
          <w:noProof w:val="0"/>
          <w:color w:val="000000" w:themeColor="text1" w:themeTint="FF" w:themeShade="FF"/>
          <w:sz w:val="19"/>
          <w:szCs w:val="19"/>
          <w:lang w:val="en-US"/>
        </w:rPr>
        <w:t xml:space="preserve"> with three biological and three experimental replicates</w:t>
      </w:r>
    </w:p>
    <w:p w:rsidRPr="001D7484" w:rsidR="005C6B5A" w:rsidP="24F30496" w:rsidRDefault="005C6B5A" w14:paraId="4F6EE2EE" w14:textId="1082F2B9">
      <w:pPr>
        <w:spacing w:before="10" w:line="240" w:lineRule="auto"/>
        <w:rPr>
          <w:rFonts w:ascii="Arial" w:hAnsi="Arial" w:eastAsia="Arial" w:cs="Arial"/>
          <w:noProof w:val="0"/>
          <w:sz w:val="19"/>
          <w:szCs w:val="19"/>
          <w:lang w:val="en-US"/>
        </w:rPr>
      </w:pPr>
      <w:r w:rsidRPr="24F30496" w:rsidR="24F30496">
        <w:rPr>
          <w:rFonts w:ascii="Arial" w:hAnsi="Arial" w:eastAsia="Arial" w:cs="Arial"/>
          <w:noProof w:val="0"/>
          <w:sz w:val="19"/>
          <w:szCs w:val="19"/>
          <w:lang w:val="en-US"/>
        </w:rPr>
        <w:t xml:space="preserve"> </w:t>
      </w:r>
    </w:p>
    <w:p w:rsidRPr="001D7484" w:rsidR="005C6B5A" w:rsidP="24F30496" w:rsidRDefault="005C6B5A" w14:paraId="0B81C237" w14:textId="78EF8021">
      <w:pPr>
        <w:spacing w:before="10" w:line="240" w:lineRule="auto"/>
        <w:rPr>
          <w:rFonts w:ascii="Arial" w:hAnsi="Arial" w:eastAsia="Arial" w:cs="Arial"/>
          <w:b w:val="1"/>
          <w:bCs w:val="1"/>
          <w:noProof w:val="0"/>
          <w:color w:val="000000" w:themeColor="text1" w:themeTint="FF" w:themeShade="FF"/>
          <w:sz w:val="19"/>
          <w:szCs w:val="19"/>
          <w:lang w:val="en-US"/>
        </w:rPr>
      </w:pPr>
      <w:r w:rsidRPr="24F30496" w:rsidR="24F30496">
        <w:rPr>
          <w:rFonts w:ascii="Arial" w:hAnsi="Arial" w:eastAsia="Arial" w:cs="Arial"/>
          <w:b w:val="1"/>
          <w:bCs w:val="1"/>
          <w:noProof w:val="0"/>
          <w:color w:val="000000" w:themeColor="text1" w:themeTint="FF" w:themeShade="FF"/>
          <w:sz w:val="19"/>
          <w:szCs w:val="19"/>
          <w:lang w:val="en-US"/>
        </w:rPr>
        <w:t xml:space="preserve">Obj. 2) Develop reliable S. </w:t>
      </w:r>
      <w:proofErr w:type="spellStart"/>
      <w:r w:rsidRPr="24F30496" w:rsidR="24F30496">
        <w:rPr>
          <w:rFonts w:ascii="Arial" w:hAnsi="Arial" w:eastAsia="Arial" w:cs="Arial"/>
          <w:b w:val="1"/>
          <w:bCs w:val="1"/>
          <w:noProof w:val="0"/>
          <w:color w:val="000000" w:themeColor="text1" w:themeTint="FF" w:themeShade="FF"/>
          <w:sz w:val="19"/>
          <w:szCs w:val="19"/>
          <w:lang w:val="en-US"/>
        </w:rPr>
        <w:t>sclerotiorum</w:t>
      </w:r>
      <w:proofErr w:type="spellEnd"/>
      <w:r w:rsidRPr="24F30496" w:rsidR="24F30496">
        <w:rPr>
          <w:rFonts w:ascii="Arial" w:hAnsi="Arial" w:eastAsia="Arial" w:cs="Arial"/>
          <w:b w:val="1"/>
          <w:bCs w:val="1"/>
          <w:noProof w:val="0"/>
          <w:color w:val="000000" w:themeColor="text1" w:themeTint="FF" w:themeShade="FF"/>
          <w:sz w:val="19"/>
          <w:szCs w:val="19"/>
          <w:lang w:val="en-US"/>
        </w:rPr>
        <w:t xml:space="preserve"> nurseries for future SSR field trials (continuing)</w:t>
      </w:r>
    </w:p>
    <w:p w:rsidRPr="001D7484" w:rsidR="005C6B5A" w:rsidP="24F30496" w:rsidRDefault="005C6B5A" w14:paraId="4B80A3CD" w14:textId="4731E8AA">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Currently, researchers do not have field sites with reliable, uniform inoculum where we can conduct white mold experiments (personal communication). High disease pressure across plots is required to observe the impact of experimental treatments (such as variety resistance differences or fungicide efficacy).</w:t>
      </w:r>
    </w:p>
    <w:p w:rsidRPr="001D7484" w:rsidR="005C6B5A" w:rsidP="24F30496" w:rsidRDefault="005C6B5A" w14:paraId="131E9E9B" w14:textId="051B02C8">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4F79A131" w14:textId="4C0C339D">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In 2022, we initiated a trial comparing three methods to encourage uniform disease pressure for trials in 2023. These included 1) growing sunflowers, susceptible to white mold, inoculated on the back of the head with a slurry of </w:t>
      </w:r>
      <w:r w:rsidRPr="24F30496" w:rsidR="24F30496">
        <w:rPr>
          <w:rFonts w:ascii="Arial" w:hAnsi="Arial" w:eastAsia="Arial" w:cs="Arial"/>
          <w:i w:val="1"/>
          <w:iCs w:val="1"/>
          <w:noProof w:val="0"/>
          <w:color w:val="000000" w:themeColor="text1" w:themeTint="FF" w:themeShade="FF"/>
          <w:sz w:val="19"/>
          <w:szCs w:val="19"/>
          <w:lang w:val="en-US"/>
        </w:rPr>
        <w:t xml:space="preserve">S. </w:t>
      </w:r>
      <w:proofErr w:type="spellStart"/>
      <w:r w:rsidRPr="24F30496" w:rsidR="24F30496">
        <w:rPr>
          <w:rFonts w:ascii="Arial" w:hAnsi="Arial" w:eastAsia="Arial" w:cs="Arial"/>
          <w:i w:val="1"/>
          <w:iCs w:val="1"/>
          <w:noProof w:val="0"/>
          <w:color w:val="000000" w:themeColor="text1" w:themeTint="FF" w:themeShade="FF"/>
          <w:sz w:val="19"/>
          <w:szCs w:val="19"/>
          <w:lang w:val="en-US"/>
        </w:rPr>
        <w:t>sclerotiorum</w:t>
      </w:r>
      <w:proofErr w:type="spellEnd"/>
      <w:r w:rsidRPr="24F30496" w:rsidR="24F30496">
        <w:rPr>
          <w:rFonts w:ascii="Arial" w:hAnsi="Arial" w:eastAsia="Arial" w:cs="Arial"/>
          <w:noProof w:val="0"/>
          <w:color w:val="000000" w:themeColor="text1" w:themeTint="FF" w:themeShade="FF"/>
          <w:sz w:val="19"/>
          <w:szCs w:val="19"/>
          <w:lang w:val="en-US"/>
        </w:rPr>
        <w:t xml:space="preserve">, and incorporating residue into the soil in fall 2022. We also added 2) sclerotia generated in the lab on carrots into the field during the fall before 2023 trials. Cold conditioning over the winter should allow the inoculum to produce apothecia in the following field season. 3) sclerotia produced in the lab were cold conditioned in the fridge and applied in the spring to the field. 4) Untreated, naturally infested plots will be left as controls to compare with plots treated with the described infestation methods. </w:t>
      </w:r>
    </w:p>
    <w:p w:rsidRPr="001D7484" w:rsidR="005C6B5A" w:rsidP="24F30496" w:rsidRDefault="005C6B5A" w14:paraId="641115CF" w14:textId="143756B7">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0BF27C2E" w14:textId="7314B010">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Towards this objective, </w:t>
      </w:r>
      <w:proofErr w:type="spellStart"/>
      <w:r w:rsidRPr="24F30496" w:rsidR="24F30496">
        <w:rPr>
          <w:rFonts w:ascii="Arial" w:hAnsi="Arial" w:eastAsia="Arial" w:cs="Arial"/>
          <w:noProof w:val="0"/>
          <w:color w:val="000000" w:themeColor="text1" w:themeTint="FF" w:themeShade="FF"/>
          <w:sz w:val="19"/>
          <w:szCs w:val="19"/>
          <w:lang w:val="en-US"/>
        </w:rPr>
        <w:t>Nuseed</w:t>
      </w:r>
      <w:proofErr w:type="spellEnd"/>
      <w:r w:rsidRPr="24F30496" w:rsidR="24F30496">
        <w:rPr>
          <w:rFonts w:ascii="Arial" w:hAnsi="Arial" w:eastAsia="Arial" w:cs="Arial"/>
          <w:noProof w:val="0"/>
          <w:color w:val="000000" w:themeColor="text1" w:themeTint="FF" w:themeShade="FF"/>
          <w:sz w:val="19"/>
          <w:szCs w:val="19"/>
          <w:lang w:val="en-US"/>
        </w:rPr>
        <w:t xml:space="preserve"> variety, N4HM354 sunflower</w:t>
      </w:r>
      <w:r w:rsidRPr="24F30496" w:rsidR="24F30496">
        <w:rPr>
          <w:rFonts w:ascii="Arial" w:hAnsi="Arial" w:eastAsia="Arial" w:cs="Arial"/>
          <w:b w:val="1"/>
          <w:bCs w:val="1"/>
          <w:noProof w:val="0"/>
          <w:color w:val="000000" w:themeColor="text1" w:themeTint="FF" w:themeShade="FF"/>
          <w:sz w:val="19"/>
          <w:szCs w:val="19"/>
          <w:lang w:val="en-US"/>
        </w:rPr>
        <w:t xml:space="preserve"> </w:t>
      </w:r>
      <w:r w:rsidRPr="24F30496" w:rsidR="24F30496">
        <w:rPr>
          <w:rFonts w:ascii="Arial" w:hAnsi="Arial" w:eastAsia="Arial" w:cs="Arial"/>
          <w:noProof w:val="0"/>
          <w:color w:val="000000" w:themeColor="text1" w:themeTint="FF" w:themeShade="FF"/>
          <w:sz w:val="19"/>
          <w:szCs w:val="19"/>
          <w:lang w:val="en-US"/>
        </w:rPr>
        <w:t>plots were grown in 2022 known to be susceptible to SSR at The Northwest Research and Outreach Center (NROC) in Crookston, MN. The trial is a randomized complete block design, and each treatment is repeated six times. It was planted on 22” row spacing with 20’ rows. There is a four-foot untreated buffer between plots to prevent unintended inoculum spread. Five-foot alleys were left on the front and back of rows. Treatments with sunflower incorporation were inoculated on 8/22/22 at full flowering using a slurry mixture of culture from 3 isolates with a range of aggressiveness. Sclerotia bulked on carrots were sprinkled by hand in field using 30ml per plot in the fall, to cold condition in the field. Spring applied sclerotia were cold conditioned in the lab refrigerator over fall and winter.</w:t>
      </w:r>
    </w:p>
    <w:p w:rsidRPr="001D7484" w:rsidR="005C6B5A" w:rsidP="24F30496" w:rsidRDefault="005C6B5A" w14:paraId="42CB87E2" w14:textId="66A79E73">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 xml:space="preserve"> </w:t>
      </w:r>
    </w:p>
    <w:p w:rsidRPr="001D7484" w:rsidR="005C6B5A" w:rsidP="24F30496" w:rsidRDefault="005C6B5A" w14:paraId="537F9EAB" w14:textId="26F3A7BE">
      <w:pPr>
        <w:spacing w:before="10" w:line="240" w:lineRule="auto"/>
        <w:rPr>
          <w:rFonts w:ascii="Arial" w:hAnsi="Arial" w:eastAsia="Arial" w:cs="Arial"/>
          <w:noProof w:val="0"/>
          <w:color w:val="000000" w:themeColor="text1" w:themeTint="FF" w:themeShade="FF"/>
          <w:sz w:val="19"/>
          <w:szCs w:val="19"/>
          <w:lang w:val="en-US"/>
        </w:rPr>
      </w:pPr>
      <w:r w:rsidRPr="24F30496" w:rsidR="24F30496">
        <w:rPr>
          <w:rFonts w:ascii="Arial" w:hAnsi="Arial" w:eastAsia="Arial" w:cs="Arial"/>
          <w:noProof w:val="0"/>
          <w:color w:val="000000" w:themeColor="text1" w:themeTint="FF" w:themeShade="FF"/>
          <w:sz w:val="19"/>
          <w:szCs w:val="19"/>
          <w:lang w:val="en-US"/>
        </w:rPr>
        <w:t>In 2023, soybeans were evaluated in the plots and incidence and severity of SSR infections was compared. Apothecia density was also monitored. It is expected that this work will allow for more uniform, consistent disease pressure in which to compare the performance of soybean lines and treatments for white mold. Soybean variety NKS008-E3 was planted in all plots including buffer rows on 5/23/23. Spring applied sclerotia was sprinkled on 6/23/23. A walkthrough for apothecia took place on 7/5 and 7/18 but no apothecia were observed. On 7/5 iron deficiency chlorosis (IDC) was observed. On 7/18 the plants appeared to be starting to recover from the previously observed iron deficiency. Disease incidence and severity were rated on 9/7/23. Unfortunately, no disease was observed and canopy closure for the most part was still at less than 50% which contributed to unfavorable disease conditions. I would recommend this trial is repeated in an area that is less prone to iron deficiency chlorosis, but if Crookston or a further north location plant on smaller row spacing to ensure canopy closure will help encourage disease.</w:t>
      </w:r>
    </w:p>
    <w:p w:rsidR="55E84D37" w:rsidP="24F30496" w:rsidRDefault="55E84D37" w14:paraId="60208357" w14:textId="4CDB80A9">
      <w:pPr>
        <w:pStyle w:val="BodyText"/>
        <w:spacing w:before="10" w:line="240" w:lineRule="auto"/>
        <w:rPr>
          <w:rFonts w:ascii="Arial" w:hAnsi="Arial" w:eastAsia="Arial" w:cs="Arial"/>
          <w:sz w:val="19"/>
          <w:szCs w:val="19"/>
        </w:rPr>
      </w:pPr>
    </w:p>
    <w:p w:rsidRPr="001D7484" w:rsidR="009035AB" w:rsidP="24F30496" w:rsidRDefault="00EC79E7" w14:paraId="0349886C" w14:textId="3AF14D8C">
      <w:pPr>
        <w:pStyle w:val="BodyText"/>
        <w:spacing w:line="240" w:lineRule="auto"/>
        <w:rPr>
          <w:rFonts w:ascii="Arial" w:hAnsi="Arial" w:eastAsia="Arial" w:cs="Arial"/>
          <w:b w:val="1"/>
          <w:bCs w:val="1"/>
          <w:i w:val="1"/>
          <w:iCs w:val="1"/>
          <w:sz w:val="22"/>
          <w:szCs w:val="22"/>
        </w:rPr>
      </w:pPr>
      <w:r w:rsidRPr="24F30496" w:rsidR="24F30496">
        <w:rPr>
          <w:rFonts w:ascii="Arial" w:hAnsi="Arial" w:eastAsia="Arial" w:cs="Arial"/>
          <w:b w:val="1"/>
          <w:bCs w:val="1"/>
          <w:i w:val="1"/>
          <w:iCs w:val="1"/>
          <w:sz w:val="18"/>
          <w:szCs w:val="18"/>
          <w:u w:val="single"/>
        </w:rPr>
        <w:t>Application/Use</w:t>
      </w:r>
      <w:r w:rsidRPr="24F30496" w:rsidR="24F30496">
        <w:rPr>
          <w:rFonts w:ascii="Arial" w:hAnsi="Arial" w:eastAsia="Arial" w:cs="Arial"/>
          <w:b w:val="1"/>
          <w:bCs w:val="1"/>
          <w:i w:val="1"/>
          <w:iCs w:val="1"/>
          <w:sz w:val="18"/>
          <w:szCs w:val="18"/>
          <w:u w:val="single"/>
        </w:rPr>
        <w:t>:</w:t>
      </w:r>
      <w:r w:rsidRPr="24F30496" w:rsidR="24F30496">
        <w:rPr>
          <w:rFonts w:ascii="Arial" w:hAnsi="Arial" w:eastAsia="Arial" w:cs="Arial"/>
          <w:b w:val="1"/>
          <w:bCs w:val="1"/>
          <w:i w:val="1"/>
          <w:iCs w:val="1"/>
          <w:sz w:val="22"/>
          <w:szCs w:val="22"/>
        </w:rPr>
        <w:t xml:space="preserve"> </w:t>
      </w:r>
    </w:p>
    <w:p w:rsidR="2522D9CF" w:rsidP="24F30496" w:rsidRDefault="2522D9CF" w14:paraId="2D008839" w14:textId="7B7F455E">
      <w:pPr>
        <w:pStyle w:val="BodyText"/>
        <w:spacing w:line="240" w:lineRule="auto"/>
        <w:rPr>
          <w:rFonts w:ascii="Arial" w:hAnsi="Arial" w:eastAsia="Arial" w:cs="Arial"/>
          <w:b w:val="1"/>
          <w:bCs w:val="1"/>
          <w:i w:val="1"/>
          <w:iCs w:val="1"/>
          <w:sz w:val="20"/>
          <w:szCs w:val="20"/>
        </w:rPr>
      </w:pPr>
      <w:r w:rsidRPr="24F30496" w:rsidR="24F30496">
        <w:rPr>
          <w:rFonts w:ascii="Arial" w:hAnsi="Arial" w:eastAsia="Arial" w:cs="Arial"/>
          <w:b w:val="0"/>
          <w:bCs w:val="0"/>
          <w:i w:val="0"/>
          <w:iCs w:val="0"/>
          <w:sz w:val="20"/>
          <w:szCs w:val="20"/>
        </w:rPr>
        <w:t>This project can be used to help researchers to better test fungicide and resistance against white mold with the development of white mold nurseries. It will also give insight into canopy architecture traits that may help inhibit white mold development which could be useful to breeders.</w:t>
      </w:r>
    </w:p>
    <w:p w:rsidRPr="001D7484" w:rsidR="005C6B5A" w:rsidP="24F30496" w:rsidRDefault="005C6B5A" w14:paraId="4DF2D0FD" w14:textId="77777777" w14:noSpellErr="1">
      <w:pPr>
        <w:pStyle w:val="BodyText"/>
        <w:spacing w:before="2" w:line="240" w:lineRule="auto"/>
        <w:rPr>
          <w:rFonts w:ascii="Arial" w:hAnsi="Arial" w:eastAsia="Arial" w:cs="Arial"/>
          <w:sz w:val="22"/>
          <w:szCs w:val="22"/>
        </w:rPr>
      </w:pPr>
    </w:p>
    <w:p w:rsidRPr="001D7484" w:rsidR="009035AB" w:rsidP="24F30496" w:rsidRDefault="00EC79E7" w14:paraId="77486727" w14:textId="1C5E9D0C">
      <w:pPr>
        <w:pStyle w:val="BodyText"/>
        <w:spacing w:line="240" w:lineRule="auto"/>
        <w:rPr>
          <w:rFonts w:ascii="Arial" w:hAnsi="Arial" w:eastAsia="Arial" w:cs="Arial"/>
          <w:b w:val="1"/>
          <w:bCs w:val="1"/>
          <w:i w:val="1"/>
          <w:iCs w:val="1"/>
          <w:sz w:val="18"/>
          <w:szCs w:val="18"/>
        </w:rPr>
      </w:pPr>
      <w:r w:rsidRPr="24F30496" w:rsidR="24F30496">
        <w:rPr>
          <w:rFonts w:ascii="Arial" w:hAnsi="Arial" w:eastAsia="Arial" w:cs="Arial"/>
          <w:b w:val="1"/>
          <w:bCs w:val="1"/>
          <w:i w:val="1"/>
          <w:iCs w:val="1"/>
          <w:sz w:val="18"/>
          <w:szCs w:val="18"/>
          <w:u w:val="single"/>
        </w:rPr>
        <w:t>Materials and Methods</w:t>
      </w:r>
      <w:r w:rsidRPr="24F30496" w:rsidR="24F30496">
        <w:rPr>
          <w:rFonts w:ascii="Arial" w:hAnsi="Arial" w:eastAsia="Arial" w:cs="Arial"/>
          <w:b w:val="1"/>
          <w:bCs w:val="1"/>
          <w:i w:val="1"/>
          <w:iCs w:val="1"/>
          <w:sz w:val="18"/>
          <w:szCs w:val="18"/>
          <w:u w:val="single"/>
        </w:rPr>
        <w:t>:</w:t>
      </w:r>
      <w:r w:rsidRPr="24F30496" w:rsidR="24F30496">
        <w:rPr>
          <w:rFonts w:ascii="Arial" w:hAnsi="Arial" w:eastAsia="Arial" w:cs="Arial"/>
          <w:b w:val="1"/>
          <w:bCs w:val="1"/>
          <w:i w:val="1"/>
          <w:iCs w:val="1"/>
          <w:sz w:val="18"/>
          <w:szCs w:val="18"/>
        </w:rPr>
        <w:t xml:space="preserve"> </w:t>
      </w:r>
    </w:p>
    <w:p w:rsidR="200547B9" w:rsidP="24F30496" w:rsidRDefault="200547B9" w14:paraId="54007196" w14:textId="58BCB9BF">
      <w:pPr>
        <w:pStyle w:val="BodyText"/>
        <w:spacing w:line="240" w:lineRule="auto"/>
        <w:rPr>
          <w:rFonts w:ascii="Arial" w:hAnsi="Arial" w:eastAsia="Arial" w:cs="Arial"/>
          <w:b w:val="1"/>
          <w:bCs w:val="1"/>
          <w:i w:val="1"/>
          <w:iCs w:val="1"/>
          <w:sz w:val="19"/>
          <w:szCs w:val="19"/>
        </w:rPr>
      </w:pPr>
      <w:r w:rsidRPr="24F30496" w:rsidR="24F30496">
        <w:rPr>
          <w:rFonts w:ascii="Arial" w:hAnsi="Arial" w:eastAsia="Arial" w:cs="Arial"/>
          <w:b w:val="0"/>
          <w:bCs w:val="0"/>
          <w:i w:val="0"/>
          <w:iCs w:val="0"/>
          <w:sz w:val="19"/>
          <w:szCs w:val="19"/>
        </w:rPr>
        <w:t>Described in results</w:t>
      </w:r>
    </w:p>
    <w:p w:rsidRPr="001D7484" w:rsidR="005C6B5A" w:rsidP="24F30496" w:rsidRDefault="005C6B5A" w14:paraId="30F03062" w14:textId="77777777" w14:noSpellErr="1">
      <w:pPr>
        <w:pStyle w:val="BodyText"/>
        <w:spacing w:before="10" w:line="240" w:lineRule="auto"/>
        <w:rPr>
          <w:rFonts w:ascii="Arial" w:hAnsi="Arial" w:eastAsia="Arial" w:cs="Arial"/>
          <w:sz w:val="22"/>
          <w:szCs w:val="22"/>
        </w:rPr>
      </w:pPr>
    </w:p>
    <w:p w:rsidRPr="001D7484" w:rsidR="009035AB" w:rsidP="24F30496" w:rsidRDefault="00EC79E7" w14:paraId="097CE2BE" w14:textId="1AE15CA9">
      <w:pPr>
        <w:pStyle w:val="BodyText"/>
        <w:spacing w:line="240" w:lineRule="auto"/>
        <w:rPr>
          <w:rFonts w:ascii="Arial" w:hAnsi="Arial" w:eastAsia="Arial" w:cs="Arial"/>
          <w:b w:val="1"/>
          <w:bCs w:val="1"/>
          <w:i w:val="1"/>
          <w:iCs w:val="1"/>
          <w:sz w:val="22"/>
          <w:szCs w:val="22"/>
        </w:rPr>
      </w:pPr>
      <w:r w:rsidRPr="24F30496" w:rsidR="24F30496">
        <w:rPr>
          <w:rFonts w:ascii="Arial" w:hAnsi="Arial" w:eastAsia="Arial" w:cs="Arial"/>
          <w:b w:val="1"/>
          <w:bCs w:val="1"/>
          <w:i w:val="1"/>
          <w:iCs w:val="1"/>
          <w:sz w:val="18"/>
          <w:szCs w:val="18"/>
          <w:u w:val="single"/>
        </w:rPr>
        <w:t xml:space="preserve">Economic Benefit to a Typical 500 Acre </w:t>
      </w:r>
      <w:r w:rsidRPr="24F30496" w:rsidR="24F30496">
        <w:rPr>
          <w:rFonts w:ascii="Arial" w:hAnsi="Arial" w:eastAsia="Arial" w:cs="Arial"/>
          <w:b w:val="1"/>
          <w:bCs w:val="1"/>
          <w:i w:val="1"/>
          <w:iCs w:val="1"/>
          <w:sz w:val="18"/>
          <w:szCs w:val="18"/>
          <w:u w:val="single"/>
        </w:rPr>
        <w:t>Soybean</w:t>
      </w:r>
      <w:r w:rsidRPr="24F30496" w:rsidR="24F30496">
        <w:rPr>
          <w:rFonts w:ascii="Arial" w:hAnsi="Arial" w:eastAsia="Arial" w:cs="Arial"/>
          <w:b w:val="1"/>
          <w:bCs w:val="1"/>
          <w:i w:val="1"/>
          <w:iCs w:val="1"/>
          <w:sz w:val="18"/>
          <w:szCs w:val="18"/>
          <w:u w:val="single"/>
        </w:rPr>
        <w:t xml:space="preserve"> Enterprise</w:t>
      </w:r>
      <w:r w:rsidRPr="24F30496" w:rsidR="24F30496">
        <w:rPr>
          <w:rFonts w:ascii="Arial" w:hAnsi="Arial" w:eastAsia="Arial" w:cs="Arial"/>
          <w:b w:val="1"/>
          <w:bCs w:val="1"/>
          <w:i w:val="1"/>
          <w:iCs w:val="1"/>
          <w:sz w:val="18"/>
          <w:szCs w:val="18"/>
          <w:u w:val="single"/>
        </w:rPr>
        <w:t>:</w:t>
      </w:r>
      <w:r w:rsidRPr="24F30496" w:rsidR="24F30496">
        <w:rPr>
          <w:rFonts w:ascii="Arial" w:hAnsi="Arial" w:eastAsia="Arial" w:cs="Arial"/>
          <w:b w:val="1"/>
          <w:bCs w:val="1"/>
          <w:i w:val="1"/>
          <w:iCs w:val="1"/>
          <w:sz w:val="22"/>
          <w:szCs w:val="22"/>
        </w:rPr>
        <w:t xml:space="preserve"> </w:t>
      </w:r>
    </w:p>
    <w:p w:rsidRPr="001D7484" w:rsidR="005C6B5A" w:rsidP="24F30496" w:rsidRDefault="005C6B5A" w14:paraId="342C61A6" w14:textId="2F1F141F">
      <w:pPr>
        <w:pStyle w:val="BodyText"/>
        <w:spacing w:before="11" w:line="240" w:lineRule="auto"/>
        <w:rPr>
          <w:rFonts w:ascii="Arial" w:hAnsi="Arial" w:eastAsia="Arial" w:cs="Arial"/>
          <w:b w:val="0"/>
          <w:bCs w:val="0"/>
          <w:i w:val="0"/>
          <w:iCs w:val="0"/>
          <w:sz w:val="20"/>
          <w:szCs w:val="20"/>
          <w:u w:val="none"/>
        </w:rPr>
      </w:pPr>
      <w:r w:rsidRPr="11A60958" w:rsidR="11A60958">
        <w:rPr>
          <w:rFonts w:ascii="Arial" w:hAnsi="Arial" w:eastAsia="Arial" w:cs="Arial"/>
          <w:sz w:val="20"/>
          <w:szCs w:val="20"/>
        </w:rPr>
        <w:t>Finding alternative ways to manage white mold will help farmers. This will also help them to be aware of what isolates might be found in their region and how aggressive they might be.</w:t>
      </w:r>
      <w:r w:rsidRPr="11A60958" w:rsidR="11A60958">
        <w:rPr>
          <w:rFonts w:ascii="Arial" w:hAnsi="Arial" w:eastAsia="Arial" w:cs="Arial"/>
          <w:b w:val="0"/>
          <w:bCs w:val="0"/>
          <w:i w:val="0"/>
          <w:iCs w:val="0"/>
          <w:sz w:val="20"/>
          <w:szCs w:val="20"/>
          <w:u w:val="none"/>
        </w:rPr>
        <w:t xml:space="preserve"> Our research will contribute to more resilient soybean varieties, sustainable agriculture, and enhanced food security. The outcomes of this research will have practical implications for farmers, breeders, and scientists working to mitigate the impact of Sclerotinia on crop yields.</w:t>
      </w:r>
    </w:p>
    <w:p w:rsidR="11A60958" w:rsidP="11A60958" w:rsidRDefault="11A60958" w14:paraId="6DF81B46" w14:textId="7E92D6C3">
      <w:pPr>
        <w:spacing w:line="360" w:lineRule="auto"/>
        <w:rPr>
          <w:rFonts w:ascii="Arial" w:hAnsi="Arial" w:eastAsia="Arial" w:cs="Arial"/>
          <w:b w:val="1"/>
          <w:bCs w:val="1"/>
          <w:i w:val="1"/>
          <w:iCs w:val="1"/>
          <w:noProof w:val="0"/>
          <w:sz w:val="18"/>
          <w:szCs w:val="18"/>
          <w:u w:val="single"/>
          <w:lang w:val="en-US"/>
        </w:rPr>
      </w:pPr>
    </w:p>
    <w:p w:rsidR="11A60958" w:rsidP="43B6D23F" w:rsidRDefault="11A60958" w14:paraId="4B281103" w14:textId="3EA0BC2C">
      <w:pPr>
        <w:spacing w:line="240" w:lineRule="auto"/>
        <w:rPr>
          <w:rFonts w:ascii="Arial" w:hAnsi="Arial" w:eastAsia="Arial" w:cs="Arial"/>
          <w:b w:val="1"/>
          <w:bCs w:val="1"/>
          <w:i w:val="1"/>
          <w:iCs w:val="1"/>
          <w:noProof w:val="0"/>
          <w:sz w:val="18"/>
          <w:szCs w:val="18"/>
          <w:lang w:val="en-US"/>
        </w:rPr>
      </w:pPr>
      <w:r w:rsidRPr="43B6D23F" w:rsidR="43B6D23F">
        <w:rPr>
          <w:rFonts w:ascii="Arial" w:hAnsi="Arial" w:eastAsia="Arial" w:cs="Arial"/>
          <w:b w:val="1"/>
          <w:bCs w:val="1"/>
          <w:i w:val="1"/>
          <w:iCs w:val="1"/>
          <w:noProof w:val="0"/>
          <w:sz w:val="18"/>
          <w:szCs w:val="18"/>
          <w:u w:val="single"/>
          <w:lang w:val="en-US"/>
        </w:rPr>
        <w:t>Related Research:</w:t>
      </w:r>
    </w:p>
    <w:p w:rsidR="11A60958" w:rsidP="43B6D23F" w:rsidRDefault="11A60958" w14:paraId="20FFA808" w14:textId="7ED78CEA">
      <w:pPr>
        <w:pStyle w:val="Normal"/>
        <w:spacing w:line="240" w:lineRule="auto"/>
        <w:rPr>
          <w:rFonts w:ascii="Arial" w:hAnsi="Arial" w:eastAsia="Arial" w:cs="Arial"/>
          <w:b w:val="0"/>
          <w:bCs w:val="0"/>
          <w:i w:val="0"/>
          <w:iCs w:val="0"/>
          <w:noProof w:val="0"/>
          <w:sz w:val="19"/>
          <w:szCs w:val="19"/>
          <w:u w:val="none"/>
          <w:lang w:val="en-US"/>
        </w:rPr>
      </w:pPr>
      <w:r w:rsidRPr="43B6D23F" w:rsidR="43B6D23F">
        <w:rPr>
          <w:rFonts w:ascii="Arial" w:hAnsi="Arial" w:eastAsia="Arial" w:cs="Arial"/>
          <w:b w:val="0"/>
          <w:bCs w:val="0"/>
          <w:i w:val="0"/>
          <w:iCs w:val="0"/>
          <w:noProof w:val="0"/>
          <w:sz w:val="19"/>
          <w:szCs w:val="19"/>
          <w:u w:val="none"/>
          <w:lang w:val="en-US"/>
        </w:rPr>
        <w:t>Work is being done in the Ashish Ranjan lab at the University of Minnesota to characterize Minnesota soybean breeding lines for genetic resistance.</w:t>
      </w:r>
    </w:p>
    <w:p w:rsidR="43B6D23F" w:rsidP="43B6D23F" w:rsidRDefault="43B6D23F" w14:paraId="40242E08" w14:textId="1147A075">
      <w:pPr>
        <w:pStyle w:val="Normal"/>
        <w:spacing w:line="240" w:lineRule="auto"/>
        <w:rPr>
          <w:rFonts w:ascii="Arial" w:hAnsi="Arial" w:eastAsia="Arial" w:cs="Arial"/>
          <w:b w:val="0"/>
          <w:bCs w:val="0"/>
          <w:i w:val="0"/>
          <w:iCs w:val="0"/>
          <w:noProof w:val="0"/>
          <w:sz w:val="18"/>
          <w:szCs w:val="18"/>
          <w:u w:val="none"/>
          <w:lang w:val="en-US"/>
        </w:rPr>
      </w:pPr>
    </w:p>
    <w:p w:rsidRPr="001D7484" w:rsidR="009035AB" w:rsidP="43B6D23F" w:rsidRDefault="00EC79E7" w14:paraId="19D8C57C" w14:textId="4CEF8F11">
      <w:pPr>
        <w:pStyle w:val="BodyText"/>
        <w:spacing w:line="240" w:lineRule="auto"/>
        <w:rPr>
          <w:rFonts w:ascii="Arial" w:hAnsi="Arial" w:eastAsia="Arial" w:cs="Arial"/>
          <w:b w:val="1"/>
          <w:bCs w:val="1"/>
          <w:i w:val="1"/>
          <w:iCs w:val="1"/>
          <w:sz w:val="18"/>
          <w:szCs w:val="18"/>
        </w:rPr>
      </w:pPr>
      <w:r w:rsidRPr="43B6D23F" w:rsidR="43B6D23F">
        <w:rPr>
          <w:rFonts w:ascii="Arial" w:hAnsi="Arial" w:eastAsia="Arial" w:cs="Arial"/>
          <w:b w:val="1"/>
          <w:bCs w:val="1"/>
          <w:i w:val="1"/>
          <w:iCs w:val="1"/>
          <w:sz w:val="18"/>
          <w:szCs w:val="18"/>
          <w:u w:val="single"/>
        </w:rPr>
        <w:t>Recommended Future Research</w:t>
      </w:r>
      <w:r w:rsidRPr="43B6D23F" w:rsidR="43B6D23F">
        <w:rPr>
          <w:rFonts w:ascii="Arial" w:hAnsi="Arial" w:eastAsia="Arial" w:cs="Arial"/>
          <w:b w:val="1"/>
          <w:bCs w:val="1"/>
          <w:i w:val="1"/>
          <w:iCs w:val="1"/>
          <w:sz w:val="18"/>
          <w:szCs w:val="18"/>
          <w:u w:val="single"/>
        </w:rPr>
        <w:t>:</w:t>
      </w:r>
      <w:r w:rsidRPr="43B6D23F" w:rsidR="43B6D23F">
        <w:rPr>
          <w:rFonts w:ascii="Arial" w:hAnsi="Arial" w:eastAsia="Arial" w:cs="Arial"/>
          <w:b w:val="1"/>
          <w:bCs w:val="1"/>
          <w:i w:val="1"/>
          <w:iCs w:val="1"/>
          <w:sz w:val="18"/>
          <w:szCs w:val="18"/>
        </w:rPr>
        <w:t xml:space="preserve"> </w:t>
      </w:r>
    </w:p>
    <w:p w:rsidR="6DB93AD5" w:rsidP="43B6D23F" w:rsidRDefault="6DB93AD5" w14:paraId="3183E782" w14:textId="00E1B179">
      <w:pPr>
        <w:pStyle w:val="BodyText"/>
        <w:spacing w:line="240" w:lineRule="auto"/>
        <w:rPr>
          <w:rFonts w:ascii="Arial" w:hAnsi="Arial" w:eastAsia="Arial" w:cs="Arial"/>
          <w:b w:val="0"/>
          <w:bCs w:val="0"/>
          <w:i w:val="0"/>
          <w:iCs w:val="0"/>
          <w:sz w:val="20"/>
          <w:szCs w:val="20"/>
        </w:rPr>
      </w:pPr>
      <w:r w:rsidRPr="43B6D23F" w:rsidR="43B6D23F">
        <w:rPr>
          <w:rFonts w:ascii="Arial" w:hAnsi="Arial" w:eastAsia="Arial" w:cs="Arial"/>
          <w:b w:val="0"/>
          <w:bCs w:val="0"/>
          <w:i w:val="0"/>
          <w:iCs w:val="0"/>
          <w:sz w:val="20"/>
          <w:szCs w:val="20"/>
        </w:rPr>
        <w:t>I recommend repeating the disease nursery in an area where soybean is more likely to be grown. Also, if the nursery is repeated, I recommend using smaller row spacing that is more conducive to encouraging disease.</w:t>
      </w:r>
      <w:r w:rsidRPr="43B6D23F" w:rsidR="43B6D23F">
        <w:rPr>
          <w:rFonts w:ascii="Arial" w:hAnsi="Arial" w:eastAsia="Arial" w:cs="Arial"/>
          <w:b w:val="0"/>
          <w:bCs w:val="0"/>
          <w:i w:val="0"/>
          <w:iCs w:val="0"/>
          <w:sz w:val="20"/>
          <w:szCs w:val="20"/>
        </w:rPr>
        <w:t xml:space="preserve"> </w:t>
      </w:r>
    </w:p>
    <w:p w:rsidRPr="001D7484" w:rsidR="005C6B5A" w:rsidP="24F30496" w:rsidRDefault="005C6B5A" w14:paraId="6975BF7D" w14:textId="77777777" w14:noSpellErr="1">
      <w:pPr>
        <w:pStyle w:val="BodyText"/>
        <w:spacing w:before="1" w:line="240" w:lineRule="auto"/>
        <w:rPr>
          <w:rFonts w:ascii="Arial" w:hAnsi="Arial" w:eastAsia="Arial" w:cs="Arial"/>
          <w:sz w:val="22"/>
          <w:szCs w:val="22"/>
        </w:rPr>
      </w:pPr>
    </w:p>
    <w:p w:rsidRPr="001D7484" w:rsidR="009035AB" w:rsidP="43B6D23F" w:rsidRDefault="00EC79E7" w14:paraId="65400895" w14:textId="465DD594">
      <w:pPr>
        <w:pStyle w:val="BodyText"/>
        <w:spacing w:line="240" w:lineRule="auto"/>
        <w:rPr>
          <w:rFonts w:ascii="Arial" w:hAnsi="Arial" w:eastAsia="Arial" w:cs="Arial"/>
          <w:b w:val="1"/>
          <w:bCs w:val="1"/>
          <w:i w:val="1"/>
          <w:iCs w:val="1"/>
          <w:sz w:val="18"/>
          <w:szCs w:val="18"/>
        </w:rPr>
      </w:pPr>
      <w:r w:rsidRPr="43B6D23F" w:rsidR="43B6D23F">
        <w:rPr>
          <w:rFonts w:ascii="Arial" w:hAnsi="Arial" w:eastAsia="Arial" w:cs="Arial"/>
          <w:b w:val="1"/>
          <w:bCs w:val="1"/>
          <w:i w:val="1"/>
          <w:iCs w:val="1"/>
          <w:sz w:val="18"/>
          <w:szCs w:val="18"/>
          <w:u w:val="single"/>
        </w:rPr>
        <w:t>References</w:t>
      </w:r>
      <w:r w:rsidRPr="43B6D23F" w:rsidR="43B6D23F">
        <w:rPr>
          <w:rFonts w:ascii="Arial" w:hAnsi="Arial" w:eastAsia="Arial" w:cs="Arial"/>
          <w:b w:val="1"/>
          <w:bCs w:val="1"/>
          <w:i w:val="1"/>
          <w:iCs w:val="1"/>
          <w:sz w:val="18"/>
          <w:szCs w:val="18"/>
          <w:u w:val="single"/>
        </w:rPr>
        <w:t>:</w:t>
      </w:r>
      <w:r w:rsidRPr="43B6D23F" w:rsidR="43B6D23F">
        <w:rPr>
          <w:rFonts w:ascii="Arial" w:hAnsi="Arial" w:eastAsia="Arial" w:cs="Arial"/>
          <w:b w:val="1"/>
          <w:bCs w:val="1"/>
          <w:i w:val="1"/>
          <w:iCs w:val="1"/>
          <w:sz w:val="18"/>
          <w:szCs w:val="18"/>
        </w:rPr>
        <w:t xml:space="preserve"> </w:t>
      </w:r>
    </w:p>
    <w:p w:rsidR="2522D9CF" w:rsidP="43B6D23F" w:rsidRDefault="2522D9CF" w14:paraId="35DEE773" w14:textId="1EEDA410">
      <w:pPr>
        <w:pStyle w:val="BodyText"/>
        <w:spacing w:line="240" w:lineRule="auto"/>
        <w:rPr>
          <w:rFonts w:ascii="Arial" w:hAnsi="Arial" w:eastAsia="Arial" w:cs="Arial"/>
          <w:sz w:val="20"/>
          <w:szCs w:val="20"/>
        </w:rPr>
      </w:pPr>
      <w:r w:rsidRPr="43B6D23F" w:rsidR="43B6D23F">
        <w:rPr>
          <w:rFonts w:ascii="Arial" w:hAnsi="Arial" w:eastAsia="Arial" w:cs="Arial"/>
          <w:sz w:val="20"/>
          <w:szCs w:val="20"/>
        </w:rPr>
        <w:t xml:space="preserve">Peltier, A. J., &amp; Grau, C. R. (2008). The Influence of Light on Relationships Between Sclerotinia Stem Rot of Soybean in Field and Controlled Environments. Plant Disease, 92(11), 1510–1514. </w:t>
      </w:r>
      <w:hyperlink r:id="R6bbd7e11cc884dfc">
        <w:r w:rsidRPr="43B6D23F" w:rsidR="43B6D23F">
          <w:rPr>
            <w:rStyle w:val="Hyperlink"/>
            <w:rFonts w:ascii="Arial" w:hAnsi="Arial" w:eastAsia="Arial" w:cs="Arial"/>
            <w:sz w:val="20"/>
            <w:szCs w:val="20"/>
          </w:rPr>
          <w:t>https://doi.org/10.1094/PDIS-92-11-1510</w:t>
        </w:r>
      </w:hyperlink>
    </w:p>
    <w:p w:rsidR="1AECD414" w:rsidP="43B6D23F" w:rsidRDefault="1AECD414" w14:paraId="15788C2F" w14:textId="3CA11D3B">
      <w:pPr>
        <w:pStyle w:val="BodyText"/>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p>
    <w:p w:rsidR="1AECD414" w:rsidP="43B6D23F" w:rsidRDefault="1AECD414" w14:paraId="77DEC9DF" w14:textId="179E47E5">
      <w:pPr>
        <w:pStyle w:val="BodyText"/>
        <w:spacing w:line="240" w:lineRule="auto"/>
        <w:rPr>
          <w:rFonts w:ascii="Arial" w:hAnsi="Arial" w:eastAsia="Arial" w:cs="Arial"/>
          <w:noProof w:val="0"/>
          <w:sz w:val="20"/>
          <w:szCs w:val="20"/>
          <w:lang w:val="en-US"/>
        </w:rPr>
      </w:pPr>
      <w:proofErr w:type="spellStart"/>
      <w:r w:rsidRPr="43B6D23F" w:rsidR="43B6D23F">
        <w:rPr>
          <w:rFonts w:ascii="Arial" w:hAnsi="Arial" w:eastAsia="Arial" w:cs="Arial"/>
          <w:b w:val="0"/>
          <w:bCs w:val="0"/>
          <w:i w:val="0"/>
          <w:iCs w:val="0"/>
          <w:caps w:val="0"/>
          <w:smallCaps w:val="0"/>
          <w:noProof w:val="0"/>
          <w:color w:val="000000" w:themeColor="text1" w:themeTint="FF" w:themeShade="FF"/>
          <w:sz w:val="20"/>
          <w:szCs w:val="20"/>
          <w:lang w:val="en-US"/>
        </w:rPr>
        <w:t>Pethybridge</w:t>
      </w:r>
      <w:proofErr w:type="spellEnd"/>
      <w:r w:rsidRPr="43B6D23F" w:rsidR="43B6D23F">
        <w:rPr>
          <w:rFonts w:ascii="Arial" w:hAnsi="Arial" w:eastAsia="Arial" w:cs="Arial"/>
          <w:b w:val="0"/>
          <w:bCs w:val="0"/>
          <w:i w:val="0"/>
          <w:iCs w:val="0"/>
          <w:caps w:val="0"/>
          <w:smallCaps w:val="0"/>
          <w:noProof w:val="0"/>
          <w:color w:val="000000" w:themeColor="text1" w:themeTint="FF" w:themeShade="FF"/>
          <w:sz w:val="20"/>
          <w:szCs w:val="20"/>
          <w:lang w:val="en-US"/>
        </w:rPr>
        <w:t xml:space="preserve">, S. J., Cobb, A.C., and Dillard, H. R. 2015. Production of Apothecia and Ascospores of </w:t>
      </w:r>
      <w:r w:rsidRPr="43B6D23F" w:rsidR="43B6D23F">
        <w:rPr>
          <w:rFonts w:ascii="Arial" w:hAnsi="Arial" w:eastAsia="Arial" w:cs="Arial"/>
          <w:b w:val="0"/>
          <w:bCs w:val="0"/>
          <w:i w:val="1"/>
          <w:iCs w:val="1"/>
          <w:caps w:val="0"/>
          <w:smallCaps w:val="0"/>
          <w:noProof w:val="0"/>
          <w:color w:val="000000" w:themeColor="text1" w:themeTint="FF" w:themeShade="FF"/>
          <w:sz w:val="20"/>
          <w:szCs w:val="20"/>
          <w:lang w:val="en-US"/>
        </w:rPr>
        <w:t xml:space="preserve">Sclerotinia </w:t>
      </w:r>
      <w:proofErr w:type="spellStart"/>
      <w:r w:rsidRPr="43B6D23F" w:rsidR="43B6D23F">
        <w:rPr>
          <w:rFonts w:ascii="Arial" w:hAnsi="Arial" w:eastAsia="Arial" w:cs="Arial"/>
          <w:b w:val="0"/>
          <w:bCs w:val="0"/>
          <w:i w:val="1"/>
          <w:iCs w:val="1"/>
          <w:caps w:val="0"/>
          <w:smallCaps w:val="0"/>
          <w:noProof w:val="0"/>
          <w:color w:val="000000" w:themeColor="text1" w:themeTint="FF" w:themeShade="FF"/>
          <w:sz w:val="20"/>
          <w:szCs w:val="20"/>
          <w:lang w:val="en-US"/>
        </w:rPr>
        <w:t>sclerotiorum</w:t>
      </w:r>
      <w:proofErr w:type="spellEnd"/>
      <w:r w:rsidRPr="43B6D23F" w:rsidR="43B6D23F">
        <w:rPr>
          <w:rFonts w:ascii="Arial" w:hAnsi="Arial" w:eastAsia="Arial" w:cs="Arial"/>
          <w:b w:val="0"/>
          <w:bCs w:val="0"/>
          <w:i w:val="1"/>
          <w:iCs w:val="1"/>
          <w:caps w:val="0"/>
          <w:smallCaps w:val="0"/>
          <w:noProof w:val="0"/>
          <w:color w:val="000000" w:themeColor="text1" w:themeTint="FF" w:themeShade="FF"/>
          <w:sz w:val="20"/>
          <w:szCs w:val="20"/>
          <w:lang w:val="en-US"/>
        </w:rPr>
        <w:t>. The Plant Health Instructor</w:t>
      </w:r>
      <w:r w:rsidRPr="43B6D23F" w:rsidR="43B6D23F">
        <w:rPr>
          <w:rFonts w:ascii="Arial" w:hAnsi="Arial" w:eastAsia="Arial" w:cs="Arial"/>
          <w:b w:val="0"/>
          <w:bCs w:val="0"/>
          <w:i w:val="0"/>
          <w:iCs w:val="0"/>
          <w:caps w:val="0"/>
          <w:smallCaps w:val="0"/>
          <w:noProof w:val="0"/>
          <w:color w:val="000000" w:themeColor="text1" w:themeTint="FF" w:themeShade="FF"/>
          <w:sz w:val="20"/>
          <w:szCs w:val="20"/>
          <w:lang w:val="en-US"/>
        </w:rPr>
        <w:t xml:space="preserve">. Revision to DOI: 10.1094/PHI-T-2004-0604-01. </w:t>
      </w:r>
      <w:r w:rsidRPr="43B6D23F" w:rsidR="43B6D23F">
        <w:rPr>
          <w:rFonts w:ascii="Arial" w:hAnsi="Arial" w:eastAsia="Arial" w:cs="Arial"/>
          <w:b w:val="1"/>
          <w:bCs w:val="1"/>
          <w:i w:val="0"/>
          <w:iCs w:val="0"/>
          <w:caps w:val="0"/>
          <w:smallCaps w:val="0"/>
          <w:noProof w:val="0"/>
          <w:color w:val="000000" w:themeColor="text1" w:themeTint="FF" w:themeShade="FF"/>
          <w:sz w:val="20"/>
          <w:szCs w:val="20"/>
          <w:lang w:val="en-US"/>
        </w:rPr>
        <w:t>Updated 2015.</w:t>
      </w:r>
    </w:p>
    <w:p w:rsidR="1AECD414" w:rsidP="43B6D23F" w:rsidRDefault="1AECD414" w14:paraId="2BF0E55C" w14:textId="06399B89">
      <w:pPr>
        <w:pStyle w:val="BodyText"/>
        <w:spacing w:line="240" w:lineRule="auto"/>
        <w:rPr>
          <w:rFonts w:ascii="Arial" w:hAnsi="Arial" w:eastAsia="Arial" w:cs="Arial"/>
          <w:sz w:val="20"/>
          <w:szCs w:val="20"/>
        </w:rPr>
      </w:pPr>
    </w:p>
    <w:p w:rsidR="2522D9CF" w:rsidP="43B6D23F" w:rsidRDefault="2522D9CF" w14:paraId="559F4270" w14:textId="72DB08B3">
      <w:pPr>
        <w:pStyle w:val="BodyText"/>
        <w:spacing w:line="240" w:lineRule="auto"/>
        <w:rPr>
          <w:rFonts w:ascii="Arial" w:hAnsi="Arial" w:eastAsia="Arial" w:cs="Arial"/>
          <w:sz w:val="20"/>
          <w:szCs w:val="20"/>
        </w:rPr>
      </w:pPr>
      <w:r w:rsidRPr="43B6D23F" w:rsidR="43B6D23F">
        <w:rPr>
          <w:rFonts w:ascii="Arial" w:hAnsi="Arial" w:eastAsia="Arial" w:cs="Arial"/>
          <w:sz w:val="20"/>
          <w:szCs w:val="20"/>
        </w:rPr>
        <w:t xml:space="preserve">Talukder, Z. I., Underwood, W., Misar, C. G., Seiler, G. J., Cai, X., Li, X., &amp; Qi, L. (2022). A Quantitative Genetic Study of Sclerotinia Head Rot Resistance </w:t>
      </w:r>
      <w:proofErr w:type="spellStart"/>
      <w:r w:rsidRPr="43B6D23F" w:rsidR="43B6D23F">
        <w:rPr>
          <w:rFonts w:ascii="Arial" w:hAnsi="Arial" w:eastAsia="Arial" w:cs="Arial"/>
          <w:sz w:val="20"/>
          <w:szCs w:val="20"/>
        </w:rPr>
        <w:t>Introgressed</w:t>
      </w:r>
      <w:proofErr w:type="spellEnd"/>
      <w:r w:rsidRPr="43B6D23F" w:rsidR="43B6D23F">
        <w:rPr>
          <w:rFonts w:ascii="Arial" w:hAnsi="Arial" w:eastAsia="Arial" w:cs="Arial"/>
          <w:sz w:val="20"/>
          <w:szCs w:val="20"/>
        </w:rPr>
        <w:t xml:space="preserve"> from the Wild Perennial Helianthus </w:t>
      </w:r>
      <w:proofErr w:type="spellStart"/>
      <w:r w:rsidRPr="43B6D23F" w:rsidR="43B6D23F">
        <w:rPr>
          <w:rFonts w:ascii="Arial" w:hAnsi="Arial" w:eastAsia="Arial" w:cs="Arial"/>
          <w:sz w:val="20"/>
          <w:szCs w:val="20"/>
        </w:rPr>
        <w:t>maximiliani</w:t>
      </w:r>
      <w:proofErr w:type="spellEnd"/>
      <w:r w:rsidRPr="43B6D23F" w:rsidR="43B6D23F">
        <w:rPr>
          <w:rFonts w:ascii="Arial" w:hAnsi="Arial" w:eastAsia="Arial" w:cs="Arial"/>
          <w:sz w:val="20"/>
          <w:szCs w:val="20"/>
        </w:rPr>
        <w:t xml:space="preserve"> into Cultivated Sunflower (Helianthus annuus L.). International Journal of Molecular Sciences, 23(14), 7727. </w:t>
      </w:r>
      <w:hyperlink r:id="R346c226dbc364056">
        <w:r w:rsidRPr="43B6D23F" w:rsidR="43B6D23F">
          <w:rPr>
            <w:rStyle w:val="Hyperlink"/>
            <w:rFonts w:ascii="Arial" w:hAnsi="Arial" w:eastAsia="Arial" w:cs="Arial"/>
            <w:sz w:val="20"/>
            <w:szCs w:val="20"/>
          </w:rPr>
          <w:t>https://doi.org/10.3390/ijms23147727</w:t>
        </w:r>
      </w:hyperlink>
    </w:p>
    <w:p w:rsidR="1AECD414" w:rsidP="43B6D23F" w:rsidRDefault="1AECD414" w14:paraId="2EBB4AE3" w14:textId="2DF8331E">
      <w:pPr>
        <w:pStyle w:val="BodyText"/>
        <w:spacing w:line="240" w:lineRule="auto"/>
        <w:rPr>
          <w:rFonts w:ascii="Arial" w:hAnsi="Arial" w:eastAsia="Arial" w:cs="Arial"/>
          <w:sz w:val="20"/>
          <w:szCs w:val="20"/>
        </w:rPr>
      </w:pPr>
    </w:p>
    <w:p w:rsidR="619A2730" w:rsidP="43B6D23F" w:rsidRDefault="619A2730" w14:paraId="29A1D9BA" w14:textId="415DE15D">
      <w:pPr>
        <w:pStyle w:val="BodyText"/>
        <w:spacing w:line="240" w:lineRule="auto"/>
        <w:rPr>
          <w:rFonts w:ascii="Arial" w:hAnsi="Arial" w:eastAsia="Arial" w:cs="Arial"/>
          <w:sz w:val="20"/>
          <w:szCs w:val="20"/>
        </w:rPr>
      </w:pPr>
      <w:r w:rsidRPr="43B6D23F" w:rsidR="43B6D23F">
        <w:rPr>
          <w:rFonts w:ascii="Arial" w:hAnsi="Arial" w:eastAsia="Arial" w:cs="Arial"/>
          <w:sz w:val="20"/>
          <w:szCs w:val="20"/>
        </w:rPr>
        <w:t xml:space="preserve">Thaning, C., &amp; Nilsson, H.-E. (2000). A Narrow Range of Wavelengths Active in Regulating Apothecial Development in Sclerotinia </w:t>
      </w:r>
      <w:proofErr w:type="spellStart"/>
      <w:r w:rsidRPr="43B6D23F" w:rsidR="43B6D23F">
        <w:rPr>
          <w:rFonts w:ascii="Arial" w:hAnsi="Arial" w:eastAsia="Arial" w:cs="Arial"/>
          <w:sz w:val="20"/>
          <w:szCs w:val="20"/>
        </w:rPr>
        <w:t>sclerotiorum</w:t>
      </w:r>
      <w:proofErr w:type="spellEnd"/>
      <w:r w:rsidRPr="43B6D23F" w:rsidR="43B6D23F">
        <w:rPr>
          <w:rFonts w:ascii="Arial" w:hAnsi="Arial" w:eastAsia="Arial" w:cs="Arial"/>
          <w:sz w:val="20"/>
          <w:szCs w:val="20"/>
        </w:rPr>
        <w:t xml:space="preserve">. Journal of Phytopathology, 148(11–12), 627–631. </w:t>
      </w:r>
      <w:hyperlink r:id="R49179a7305ff4176">
        <w:r w:rsidRPr="43B6D23F" w:rsidR="43B6D23F">
          <w:rPr>
            <w:rStyle w:val="Hyperlink"/>
            <w:rFonts w:ascii="Arial" w:hAnsi="Arial" w:eastAsia="Arial" w:cs="Arial"/>
            <w:sz w:val="20"/>
            <w:szCs w:val="20"/>
          </w:rPr>
          <w:t>https://doi.org/10.1111/j.1439-0434.2000.00546.x</w:t>
        </w:r>
      </w:hyperlink>
    </w:p>
    <w:p w:rsidR="1AECD414" w:rsidP="43B6D23F" w:rsidRDefault="1AECD414" w14:paraId="163305A1" w14:textId="70797556">
      <w:pPr>
        <w:pStyle w:val="BodyText"/>
        <w:spacing w:line="240" w:lineRule="auto"/>
        <w:rPr>
          <w:rFonts w:ascii="Arial" w:hAnsi="Arial" w:eastAsia="Arial" w:cs="Arial"/>
          <w:sz w:val="20"/>
          <w:szCs w:val="20"/>
        </w:rPr>
      </w:pPr>
    </w:p>
    <w:p w:rsidR="2522D9CF" w:rsidP="43B6D23F" w:rsidRDefault="2522D9CF" w14:paraId="461142BA" w14:textId="17FDCBFF">
      <w:pPr>
        <w:pStyle w:val="BodyText"/>
        <w:spacing w:line="240" w:lineRule="auto"/>
        <w:rPr>
          <w:rFonts w:ascii="Arial" w:hAnsi="Arial" w:eastAsia="Arial" w:cs="Arial"/>
          <w:sz w:val="20"/>
          <w:szCs w:val="20"/>
        </w:rPr>
      </w:pPr>
      <w:r w:rsidRPr="43B6D23F" w:rsidR="43B6D23F">
        <w:rPr>
          <w:rFonts w:ascii="Arial" w:hAnsi="Arial" w:eastAsia="Arial" w:cs="Arial"/>
          <w:sz w:val="20"/>
          <w:szCs w:val="20"/>
        </w:rPr>
        <w:t xml:space="preserve">Underwood, W., Misar, C. G., Block, C., Gulya, T. J., Talukder, Z., Hulke, B. S., &amp; Markell, S. G. (2021). A Greenhouse Method to Evaluate Sunflower Quantitative Resistance to Basal Stalk Rot Caused by Sclerotinia </w:t>
      </w:r>
      <w:proofErr w:type="spellStart"/>
      <w:r w:rsidRPr="43B6D23F" w:rsidR="43B6D23F">
        <w:rPr>
          <w:rFonts w:ascii="Arial" w:hAnsi="Arial" w:eastAsia="Arial" w:cs="Arial"/>
          <w:sz w:val="20"/>
          <w:szCs w:val="20"/>
        </w:rPr>
        <w:t>sclerotiorum</w:t>
      </w:r>
      <w:proofErr w:type="spellEnd"/>
      <w:r w:rsidRPr="43B6D23F" w:rsidR="43B6D23F">
        <w:rPr>
          <w:rFonts w:ascii="Arial" w:hAnsi="Arial" w:eastAsia="Arial" w:cs="Arial"/>
          <w:sz w:val="20"/>
          <w:szCs w:val="20"/>
        </w:rPr>
        <w:t xml:space="preserve">. Plant Disease, 105(2), 464–472. </w:t>
      </w:r>
      <w:hyperlink r:id="Rd279950a726d4362">
        <w:r w:rsidRPr="43B6D23F" w:rsidR="43B6D23F">
          <w:rPr>
            <w:rStyle w:val="Hyperlink"/>
            <w:rFonts w:ascii="Arial" w:hAnsi="Arial" w:eastAsia="Arial" w:cs="Arial"/>
            <w:sz w:val="20"/>
            <w:szCs w:val="20"/>
          </w:rPr>
          <w:t>https://doi.org/10.1094/PDIS-08-19-1790-RE</w:t>
        </w:r>
      </w:hyperlink>
    </w:p>
    <w:p w:rsidR="1AECD414" w:rsidP="43B6D23F" w:rsidRDefault="1AECD414" w14:paraId="4636EA0B" w14:textId="695F703D">
      <w:pPr>
        <w:pStyle w:val="BodyText"/>
        <w:spacing w:line="240" w:lineRule="auto"/>
        <w:rPr>
          <w:rFonts w:ascii="Arial" w:hAnsi="Arial" w:eastAsia="Arial" w:cs="Arial"/>
          <w:sz w:val="20"/>
          <w:szCs w:val="20"/>
        </w:rPr>
      </w:pPr>
    </w:p>
    <w:p w:rsidR="1AECD414" w:rsidP="43B6D23F" w:rsidRDefault="1AECD414" w14:paraId="502C9A26" w14:textId="4C8DA682">
      <w:pPr>
        <w:pStyle w:val="BodyText"/>
        <w:spacing w:line="240" w:lineRule="auto"/>
        <w:rPr>
          <w:rFonts w:ascii="Arial" w:hAnsi="Arial" w:eastAsia="Arial" w:cs="Arial"/>
          <w:sz w:val="20"/>
          <w:szCs w:val="20"/>
        </w:rPr>
      </w:pPr>
      <w:r w:rsidRPr="43B6D23F" w:rsidR="43B6D23F">
        <w:rPr>
          <w:rFonts w:ascii="Arial" w:hAnsi="Arial" w:eastAsia="Arial" w:cs="Arial"/>
          <w:sz w:val="20"/>
          <w:szCs w:val="20"/>
        </w:rPr>
        <w:t xml:space="preserve">Willbur, J. F., Ding, S., Marks, M. E., Lucas, H., Grau, C. R., Groves, C. L., Kabbage, M., &amp; Smith, D. L. (2017). Comprehensive Sclerotinia Stem Rot Screening of Soybean Germplasm Requires Multiple Isolates of Sclerotinia </w:t>
      </w:r>
      <w:proofErr w:type="spellStart"/>
      <w:r w:rsidRPr="43B6D23F" w:rsidR="43B6D23F">
        <w:rPr>
          <w:rFonts w:ascii="Arial" w:hAnsi="Arial" w:eastAsia="Arial" w:cs="Arial"/>
          <w:sz w:val="20"/>
          <w:szCs w:val="20"/>
        </w:rPr>
        <w:t>sclerotiorum</w:t>
      </w:r>
      <w:proofErr w:type="spellEnd"/>
      <w:r w:rsidRPr="43B6D23F" w:rsidR="43B6D23F">
        <w:rPr>
          <w:rFonts w:ascii="Arial" w:hAnsi="Arial" w:eastAsia="Arial" w:cs="Arial"/>
          <w:sz w:val="20"/>
          <w:szCs w:val="20"/>
        </w:rPr>
        <w:t xml:space="preserve">. Plant Disease, 101(2), 344–353. </w:t>
      </w:r>
      <w:hyperlink r:id="R37a2667fe1834c43">
        <w:r w:rsidRPr="43B6D23F" w:rsidR="43B6D23F">
          <w:rPr>
            <w:rStyle w:val="Hyperlink"/>
            <w:rFonts w:ascii="Arial" w:hAnsi="Arial" w:eastAsia="Arial" w:cs="Arial"/>
            <w:sz w:val="20"/>
            <w:szCs w:val="20"/>
          </w:rPr>
          <w:t>https://doi.org/10.1094/PDIS-07-16-1055-RE</w:t>
        </w:r>
      </w:hyperlink>
    </w:p>
    <w:p w:rsidR="43B6D23F" w:rsidP="43B6D23F" w:rsidRDefault="43B6D23F" w14:paraId="49F7A8ED" w14:textId="469EB005">
      <w:pPr>
        <w:pStyle w:val="BodyText"/>
        <w:spacing w:line="240" w:lineRule="auto"/>
        <w:rPr>
          <w:rFonts w:ascii="Arial" w:hAnsi="Arial" w:eastAsia="Arial" w:cs="Arial"/>
          <w:sz w:val="20"/>
          <w:szCs w:val="20"/>
        </w:rPr>
      </w:pPr>
    </w:p>
    <w:p w:rsidRPr="001D7484" w:rsidR="005C6B5A" w:rsidP="43B6D23F" w:rsidRDefault="00EC79E7" w14:paraId="5367218A" w14:textId="73F4FA31">
      <w:pPr>
        <w:pStyle w:val="BodyText"/>
        <w:spacing w:line="240" w:lineRule="auto"/>
        <w:rPr>
          <w:rFonts w:ascii="Arial" w:hAnsi="Arial" w:eastAsia="Arial" w:cs="Arial"/>
          <w:b w:val="1"/>
          <w:bCs w:val="1"/>
          <w:i w:val="1"/>
          <w:iCs w:val="1"/>
          <w:sz w:val="18"/>
          <w:szCs w:val="18"/>
        </w:rPr>
      </w:pPr>
      <w:r w:rsidRPr="43B6D23F" w:rsidR="43B6D23F">
        <w:rPr>
          <w:rFonts w:ascii="Arial" w:hAnsi="Arial" w:eastAsia="Arial" w:cs="Arial"/>
          <w:b w:val="1"/>
          <w:bCs w:val="1"/>
          <w:i w:val="1"/>
          <w:iCs w:val="1"/>
          <w:sz w:val="18"/>
          <w:szCs w:val="18"/>
          <w:u w:val="single"/>
        </w:rPr>
        <w:t>Publications</w:t>
      </w:r>
      <w:r w:rsidRPr="43B6D23F" w:rsidR="43B6D23F">
        <w:rPr>
          <w:rFonts w:ascii="Arial" w:hAnsi="Arial" w:eastAsia="Arial" w:cs="Arial"/>
          <w:b w:val="1"/>
          <w:bCs w:val="1"/>
          <w:i w:val="1"/>
          <w:iCs w:val="1"/>
          <w:sz w:val="18"/>
          <w:szCs w:val="18"/>
          <w:u w:val="single"/>
        </w:rPr>
        <w:t>:</w:t>
      </w:r>
      <w:r w:rsidRPr="43B6D23F" w:rsidR="43B6D23F">
        <w:rPr>
          <w:rFonts w:ascii="Arial" w:hAnsi="Arial" w:eastAsia="Arial" w:cs="Arial"/>
          <w:b w:val="1"/>
          <w:bCs w:val="1"/>
          <w:i w:val="1"/>
          <w:iCs w:val="1"/>
          <w:sz w:val="18"/>
          <w:szCs w:val="18"/>
        </w:rPr>
        <w:t xml:space="preserve"> </w:t>
      </w:r>
    </w:p>
    <w:p w:rsidRPr="00E75A88" w:rsidR="002C7FDC" w:rsidP="43B6D23F" w:rsidRDefault="002C7FDC" w14:paraId="023F1E4E" w14:textId="24D04CC6">
      <w:pPr>
        <w:pStyle w:val="BodyText"/>
        <w:spacing w:line="240" w:lineRule="auto"/>
        <w:rPr>
          <w:rFonts w:ascii="Arial" w:hAnsi="Arial" w:eastAsia="Arial" w:cs="Arial"/>
          <w:sz w:val="20"/>
          <w:szCs w:val="20"/>
        </w:rPr>
      </w:pPr>
      <w:r w:rsidRPr="43B6D23F" w:rsidR="43B6D23F">
        <w:rPr>
          <w:rFonts w:ascii="Arial" w:hAnsi="Arial" w:eastAsia="Arial" w:cs="Arial"/>
          <w:sz w:val="20"/>
          <w:szCs w:val="20"/>
        </w:rPr>
        <w:t>PDMR Report in progress for disease nursery</w:t>
      </w:r>
    </w:p>
    <w:sectPr w:rsidRPr="00E75A88" w:rsidR="002C7FDC">
      <w:type w:val="continuous"/>
      <w:pgSz w:w="12240" w:h="15840" w:orient="portrait"/>
      <w:pgMar w:top="740" w:right="150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B5A"/>
    <w:rsid w:val="000126E0"/>
    <w:rsid w:val="000274D3"/>
    <w:rsid w:val="00062BA2"/>
    <w:rsid w:val="00075CA7"/>
    <w:rsid w:val="00133355"/>
    <w:rsid w:val="001426A9"/>
    <w:rsid w:val="00152EAB"/>
    <w:rsid w:val="001D7484"/>
    <w:rsid w:val="00200611"/>
    <w:rsid w:val="0026459F"/>
    <w:rsid w:val="002A73C8"/>
    <w:rsid w:val="002C7FDC"/>
    <w:rsid w:val="003164E4"/>
    <w:rsid w:val="00346FC0"/>
    <w:rsid w:val="00355A45"/>
    <w:rsid w:val="003A35CE"/>
    <w:rsid w:val="003D2FF9"/>
    <w:rsid w:val="004B072B"/>
    <w:rsid w:val="004D62B6"/>
    <w:rsid w:val="0057606F"/>
    <w:rsid w:val="005C6B5A"/>
    <w:rsid w:val="0062618F"/>
    <w:rsid w:val="00662087"/>
    <w:rsid w:val="0066628C"/>
    <w:rsid w:val="006E4ED0"/>
    <w:rsid w:val="006F0B6D"/>
    <w:rsid w:val="00883934"/>
    <w:rsid w:val="008D381C"/>
    <w:rsid w:val="009035AB"/>
    <w:rsid w:val="00956445"/>
    <w:rsid w:val="009D0AEC"/>
    <w:rsid w:val="00AB0EDD"/>
    <w:rsid w:val="00B32A25"/>
    <w:rsid w:val="00B464EF"/>
    <w:rsid w:val="00B67471"/>
    <w:rsid w:val="00B80AA4"/>
    <w:rsid w:val="00B92CC7"/>
    <w:rsid w:val="00C7397C"/>
    <w:rsid w:val="00C857C0"/>
    <w:rsid w:val="00CA4230"/>
    <w:rsid w:val="00D4342E"/>
    <w:rsid w:val="00D44E3C"/>
    <w:rsid w:val="00D50F7F"/>
    <w:rsid w:val="00E1022F"/>
    <w:rsid w:val="00E543FB"/>
    <w:rsid w:val="00E75A88"/>
    <w:rsid w:val="00EA2E90"/>
    <w:rsid w:val="00EC79E7"/>
    <w:rsid w:val="00ED6645"/>
    <w:rsid w:val="00F547D5"/>
    <w:rsid w:val="00FB7EB3"/>
    <w:rsid w:val="00FC004C"/>
    <w:rsid w:val="00FD304C"/>
    <w:rsid w:val="11A60958"/>
    <w:rsid w:val="1AECD414"/>
    <w:rsid w:val="200547B9"/>
    <w:rsid w:val="24F30496"/>
    <w:rsid w:val="2522D9CF"/>
    <w:rsid w:val="3CA88222"/>
    <w:rsid w:val="40FCB479"/>
    <w:rsid w:val="43B6D23F"/>
    <w:rsid w:val="526C1A2D"/>
    <w:rsid w:val="55E84D37"/>
    <w:rsid w:val="619A2730"/>
    <w:rsid w:val="64388CE3"/>
    <w:rsid w:val="6DB93AD5"/>
    <w:rsid w:val="75B99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4D5B"/>
  <w15:docId w15:val="{E337051D-08F7-4662-A34F-1D760E6B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styleId="CommentTextChar" w:customStyle="1">
    <w:name w:val="Comment Text Char"/>
    <w:basedOn w:val="DefaultParagraphFont"/>
    <w:link w:val="CommentText"/>
    <w:uiPriority w:val="99"/>
    <w:semiHidden/>
    <w:rsid w:val="0062618F"/>
    <w:rPr>
      <w:rFonts w:ascii="Arial" w:hAnsi="Arial" w:eastAsia="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styleId="CommentSubjectChar" w:customStyle="1">
    <w:name w:val="Comment Subject Char"/>
    <w:basedOn w:val="CommentTextChar"/>
    <w:link w:val="CommentSubject"/>
    <w:uiPriority w:val="99"/>
    <w:semiHidden/>
    <w:rsid w:val="0062618F"/>
    <w:rPr>
      <w:rFonts w:ascii="Arial" w:hAnsi="Arial" w:eastAsia="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2618F"/>
    <w:rPr>
      <w:rFonts w:ascii="Segoe UI" w:hAnsi="Segoe UI" w:eastAsia="Arial" w:cs="Segoe UI"/>
      <w:sz w:val="18"/>
      <w:szCs w:val="18"/>
      <w:lang w:bidi="en-US"/>
    </w:rPr>
  </w:style>
  <w:style w:type="table" w:styleId="TableGrid">
    <w:name w:val="Table Grid"/>
    <w:basedOn w:val="TableNormal"/>
    <w:uiPriority w:val="39"/>
    <w:rsid w:val="00B464E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B464EF"/>
    <w:rPr>
      <w:rFonts w:ascii="Arial" w:hAnsi="Arial" w:eastAsia="Arial" w:cs="Arial"/>
      <w:lang w:bidi="en-US"/>
    </w:rPr>
  </w:style>
  <w:style w:type="character" w:styleId="UnresolvedMention">
    <w:name w:val="Unresolved Mention"/>
    <w:basedOn w:val="DefaultParagraphFont"/>
    <w:uiPriority w:val="99"/>
    <w:semiHidden/>
    <w:unhideWhenUsed/>
    <w:rsid w:val="002C7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11.png" Id="R3aa343705a8940b0" /><Relationship Type="http://schemas.openxmlformats.org/officeDocument/2006/relationships/image" Target="/media/image12.png" Id="Rf6561aea7dca4d3f" /><Relationship Type="http://schemas.openxmlformats.org/officeDocument/2006/relationships/image" Target="/media/image13.png" Id="R92713607f6ad4db6" /><Relationship Type="http://schemas.openxmlformats.org/officeDocument/2006/relationships/image" Target="/media/image14.png" Id="Rf7b01cd4184349d5" /><Relationship Type="http://schemas.openxmlformats.org/officeDocument/2006/relationships/image" Target="/media/image15.png" Id="R64fa85e5e92247d9" /><Relationship Type="http://schemas.openxmlformats.org/officeDocument/2006/relationships/image" Target="/media/image16.png" Id="R58b132b6237f403e" /><Relationship Type="http://schemas.openxmlformats.org/officeDocument/2006/relationships/image" Target="/media/image17.png" Id="R94f61b6f28094d67" /><Relationship Type="http://schemas.openxmlformats.org/officeDocument/2006/relationships/image" Target="/media/image18.png" Id="R58642bc1718d439c" /><Relationship Type="http://schemas.openxmlformats.org/officeDocument/2006/relationships/image" Target="/media/image19.png" Id="R94b25533cbec4d48" /><Relationship Type="http://schemas.openxmlformats.org/officeDocument/2006/relationships/image" Target="/media/image1a.png" Id="R8372da9d2dac425f" /><Relationship Type="http://schemas.openxmlformats.org/officeDocument/2006/relationships/image" Target="/media/image1b.png" Id="R258434470e97417a" /><Relationship Type="http://schemas.openxmlformats.org/officeDocument/2006/relationships/image" Target="/media/image1c.png" Id="R554f6359040c43fd" /><Relationship Type="http://schemas.openxmlformats.org/officeDocument/2006/relationships/hyperlink" Target="https://doi.org/10.1094/PDIS-92-11-1510" TargetMode="External" Id="R6bbd7e11cc884dfc" /><Relationship Type="http://schemas.openxmlformats.org/officeDocument/2006/relationships/hyperlink" Target="https://doi.org/10.3390/ijms23147727" TargetMode="External" Id="R346c226dbc364056" /><Relationship Type="http://schemas.openxmlformats.org/officeDocument/2006/relationships/hyperlink" Target="https://doi.org/10.1111/j.1439-0434.2000.00546.x" TargetMode="External" Id="R49179a7305ff4176" /><Relationship Type="http://schemas.openxmlformats.org/officeDocument/2006/relationships/hyperlink" Target="https://doi.org/10.1094/PDIS-08-19-1790-RE" TargetMode="External" Id="Rd279950a726d4362" /><Relationship Type="http://schemas.openxmlformats.org/officeDocument/2006/relationships/hyperlink" Target="https://doi.org/10.1094/PDIS-07-16-1055-RE" TargetMode="External" Id="R37a2667fe1834c4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Minnesota Wheat Research and Promotion Council</dc:title>
  <dc:creator>Carol Pederson</dc:creator>
  <lastModifiedBy>Alisha Hershman</lastModifiedBy>
  <revision>16</revision>
  <lastPrinted>2018-10-16T16:46:00.0000000Z</lastPrinted>
  <dcterms:created xsi:type="dcterms:W3CDTF">2023-10-03T13:59:00.0000000Z</dcterms:created>
  <dcterms:modified xsi:type="dcterms:W3CDTF">2023-11-01T17:25:41.6378159Z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