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975"/>
      </w:tblGrid>
      <w:tr w:rsidR="00487E24" w:rsidRPr="00487E24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487E24" w:rsidRPr="00487E24" w:rsidRDefault="00487E24" w:rsidP="00487E2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r w:rsidRPr="00487E24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Reporting Period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EBF3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87E24" w:rsidRPr="00487E24" w:rsidRDefault="00487E24" w:rsidP="00487E24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Final Report (10/01/2011 - 09/30/2014)  </w:t>
            </w:r>
          </w:p>
        </w:tc>
      </w:tr>
      <w:tr w:rsidR="00487E24" w:rsidRPr="00487E24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487E24" w:rsidRPr="00487E24" w:rsidRDefault="00487E24" w:rsidP="00487E2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0" w:name="SPBookmark_Proposal"/>
            <w:bookmarkEnd w:id="0"/>
            <w:r w:rsidRPr="00487E24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Proposal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EBF3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87E24" w:rsidRPr="00487E24" w:rsidRDefault="00487E24" w:rsidP="00487E24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5" w:history="1">
              <w:r w:rsidRPr="00487E24">
                <w:rPr>
                  <w:rFonts w:ascii="Verdana" w:eastAsia="Times New Roman" w:hAnsi="Verdana" w:cs="Times New Roman"/>
                  <w:color w:val="3966BF"/>
                  <w:sz w:val="24"/>
                  <w:szCs w:val="24"/>
                </w:rPr>
                <w:t>2262 Developing a Comprehensive Management Program for Foliar Diseases of Soybean (Year 1 of 3)</w:t>
              </w:r>
            </w:hyperlink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487E24" w:rsidRPr="00487E24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487E24" w:rsidRPr="00487E24" w:rsidRDefault="00487E24" w:rsidP="00487E2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1" w:name="SPBookmark_Committee"/>
            <w:bookmarkEnd w:id="1"/>
            <w:r w:rsidRPr="00487E24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Committee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EBF3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87E24" w:rsidRPr="00487E24" w:rsidRDefault="00487E24" w:rsidP="00487E24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Production  </w:t>
            </w:r>
          </w:p>
        </w:tc>
      </w:tr>
      <w:tr w:rsidR="00487E24" w:rsidRPr="00487E24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487E24" w:rsidRPr="00487E24" w:rsidRDefault="00487E24" w:rsidP="00487E2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2" w:name="SPBookmark_TargetArea"/>
            <w:bookmarkEnd w:id="2"/>
            <w:r w:rsidRPr="00487E24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Target Area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EBF3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87E24" w:rsidRPr="00487E24" w:rsidRDefault="00487E24" w:rsidP="00487E24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Supply  </w:t>
            </w:r>
          </w:p>
        </w:tc>
      </w:tr>
      <w:tr w:rsidR="00487E24" w:rsidRPr="00487E24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487E24" w:rsidRPr="00487E24" w:rsidRDefault="00487E24" w:rsidP="00487E2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" w:name="SPBookmark_ProjectStartDate"/>
            <w:bookmarkEnd w:id="3"/>
            <w:r w:rsidRPr="00487E24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Project Start Date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EBF3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87E24" w:rsidRPr="00487E24" w:rsidRDefault="00487E24" w:rsidP="00487E24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10/1/2011  </w:t>
            </w:r>
          </w:p>
        </w:tc>
      </w:tr>
      <w:tr w:rsidR="00487E24" w:rsidRPr="00487E24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487E24" w:rsidRPr="00487E24" w:rsidRDefault="00487E24" w:rsidP="00487E2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4" w:name="SPBookmark_ProjectEndDate"/>
            <w:bookmarkEnd w:id="4"/>
            <w:r w:rsidRPr="00487E24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Project End Date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EBF3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87E24" w:rsidRPr="00487E24" w:rsidRDefault="00487E24" w:rsidP="00487E24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9/30/2012  </w:t>
            </w:r>
          </w:p>
        </w:tc>
      </w:tr>
      <w:tr w:rsidR="00487E24" w:rsidRPr="00487E24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487E24" w:rsidRPr="00487E24" w:rsidRDefault="00487E24" w:rsidP="00487E2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5" w:name="SPBookmark_ProjectNumber"/>
            <w:bookmarkEnd w:id="5"/>
            <w:r w:rsidRPr="00487E24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Project Number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EBF3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87E24" w:rsidRPr="00487E24" w:rsidRDefault="00487E24" w:rsidP="00487E24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2262  </w:t>
            </w:r>
          </w:p>
        </w:tc>
      </w:tr>
      <w:tr w:rsidR="00487E24" w:rsidRPr="00487E24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487E24" w:rsidRPr="00487E24" w:rsidRDefault="00487E24" w:rsidP="00487E2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6" w:name="SPBookmark_ProjectStatus"/>
            <w:bookmarkEnd w:id="6"/>
            <w:r w:rsidRPr="00487E24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Project Status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EBF3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Project Summary –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The goal </w:t>
            </w:r>
            <w:proofErr w:type="gram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of this seven-state, multi-institutional program</w:t>
            </w:r>
            <w:proofErr w:type="gram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was to develop cost-effective and sustainable management options for major foliar diseases of soybean. This goal was to be accomplished by gaining a better understanding of the epidemiology of foliar diseases which can be used to optimize disease management strategies, identify disease-resistant varieties, assist in the development of resistant germplasm, and refine management recommendations based on results generated from this research. The ultimate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goal behind this research is to devise management practices that would minimize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the risks of soybean foliar pathogens and reduce losses caused by them.</w:t>
            </w: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</w:rPr>
              <w:t>Collaborators:</w:t>
            </w: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</w:t>
            </w:r>
            <w:r w:rsidRPr="00487E24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     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Dr. Burt 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Bluhm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(Co-PI), Plant Pathology, University of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Arkansas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</w:t>
            </w:r>
            <w:r w:rsidRPr="00487E24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     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Dr. Jason Bond, Plant, Soil and Agricultural Systems,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Southern Illinois University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</w:t>
            </w:r>
            <w:r w:rsidRPr="00487E24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     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Dr. Carl Bradley, Crop Sciences, University of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Illinois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</w:t>
            </w:r>
            <w:r w:rsidRPr="00487E24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     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Alemu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Mengistu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University of Tennessee/USDA-ARS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</w:t>
            </w:r>
            <w:r w:rsidRPr="00487E24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     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Dr. Rouf Mian, Ohio State University/USDA-ARS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</w:t>
            </w:r>
            <w:r w:rsidRPr="00487E24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     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Dr. Melvin Newman/Dr. Heather Young Kelly, Entomology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and Plant Pathology, University of Tennessee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</w:t>
            </w:r>
            <w:r w:rsidRPr="00487E24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     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Dr. Boyd Padgett/Dr. Trey Price, Plant Pathology, Louisiana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State University AgCenter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</w:t>
            </w:r>
            <w:r w:rsidRPr="00487E24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     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Dr. John Rupe, Plant Pathology, University of Arkansas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</w:t>
            </w:r>
            <w:r w:rsidRPr="00487E24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     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Dr. Grover 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Shanon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Plant Sciences, University of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Missouri-Delta Center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</w:t>
            </w:r>
            <w:r w:rsidRPr="00487E24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     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Dr. X. B. Yang, Plant Pathology, Iowa State University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</w:rPr>
              <w:t>Project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</w:rPr>
              <w:t>Description: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  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Rationale and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Objectives –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The main objective of this research was to develop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cost-effective and sustainable management options for major foliar diseases of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soybean through gaining a better understanding of the epidemiology of these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diseases, identifying disease-resistant varieties, and assisting in the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development of resistant germplasm. The specific objectives are: </w:t>
            </w:r>
            <w:r w:rsidRPr="00487E24">
              <w:rPr>
                <w:rFonts w:ascii="Verdana" w:eastAsia="Times New Roman" w:hAnsi="Verdana" w:cs="Times New Roman"/>
                <w:color w:val="C0504D"/>
                <w:sz w:val="24"/>
                <w:szCs w:val="24"/>
              </w:rPr>
              <w:t> 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left="81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1.Characterize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Cercospora sojina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population diversity,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race structure and race determination and influence of host resistance 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left="81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2.Conduct extensive monitoring for strobilurin fungicide-resistant strains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of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C. sojina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left="81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3.Determine the best fungicide/host resistance programs for managing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strobilurin fungicide resistant and sensitive isolates of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C. sojina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left="81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4.Determine the baseline sensitivity of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C.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sojina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 triazole fungicides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left="81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5.Identify sources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of resistance and develop resistant varieties and elite germplasm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left="806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6.Quantify the efficacy of current fungicides on management of Phomopsis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seed decay 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left="806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7.Develop a unified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soybean foliage disease prediction system for brown spot, frogeye leaf spot and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Cercospora leaf blight 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left="806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8.Provide updated and coordinated outreach material for foliar diseases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ACCOMPLISHMENTS &amp;FUTURE WORK: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right="-72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Characterize </w:t>
            </w:r>
            <w:r w:rsidRPr="00487E2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Cercospora sojina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population diversity, race structure and race determination and influence of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resistance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The genomes of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C.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sojina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and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C. kikuchii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were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sequenced. The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C. sojina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genome is being formatted in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preparation for public release. </w:t>
            </w:r>
            <w:proofErr w:type="gram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 publication describing the genome, as well as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 web portal, are</w:t>
            </w:r>
            <w:proofErr w:type="gram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being prepared. Isolates of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C. sojina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were collected from soybean fields with a high incidence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of frogeye leaf spot in the Midwest (IL, IA, and MO) and the Midsouth (TN, LA,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and AR). A collection of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C. kikuchii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isolates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was also built, and is currently housed and curated at the University of Arkansas.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Information from the sequences of both genomes will be used to identify genetic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markers (e.g., SNPs) that can be used to assess pathogen diversity, discover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genes involved in pathogenesis, and determine the genetic basis of race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structure. 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right="-72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 study was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conducted to analyze population diversity and mating type distribution in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Arkansas populations of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C. sojina.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work was published in the October 2013 issue of Phytopathology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Numerous genetic markers have been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created from the draft genome sequence of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C.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sojina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 These markers are available to researchers upon request.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right="-72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Future work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will involve the identification of fungal genes associated with specific races.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This will be accomplished through comparative genomics. Once the reference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genome is acquired, the genomes of other isolates of the same species can be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sequenced for a fraction of the cost of the original genome sequencing.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Comparative genomics approaches will be used to identify genes or gene variants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unique to specific races. Molecular techniques will be used to verify the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involvement of candidate sequences (e.g., deleting or adding candidate genes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and evaluating the resulting change in race specificity in a specific isolate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of the pathogen).</w:t>
            </w:r>
            <w:r w:rsidRPr="00487E24">
              <w:rPr>
                <w:rFonts w:ascii="Verdana" w:eastAsia="Times New Roman" w:hAnsi="Verdana" w:cs="Times New Roman"/>
                <w:color w:val="1F497D"/>
                <w:sz w:val="24"/>
                <w:szCs w:val="24"/>
              </w:rPr>
              <w:t> 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right="-72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Extensive Monitoring for Strobilurin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Fungicide-Resistant Strains of </w:t>
            </w:r>
            <w:r w:rsidRPr="00487E2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C. sojina</w:t>
            </w: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determining the best fungicide/host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resistance programs for managing fungicide resistant and susceptible isolates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and determining the baseline sensitivity of </w:t>
            </w:r>
            <w:r w:rsidRPr="00487E2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C.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sojina </w:t>
            </w: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to triazole fungicides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An extensive collection of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C. sojina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isolates were collected from AL, AR, IL, IN, KY, LA, MS,MO, NC, and TN. The isolates were assessed for resistance to strobilurin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fungicides using an in-vitro petri dish assay. The molecular basis of the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resistance in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C. sojina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strobilurin fungicides was found to be attributed to a single mutation in the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cyt b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gene in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C. sojina.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 molecular probe was also developed that can be used to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differentiate between isolates of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C.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sojina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resistant to strobilurins and those susceptible to that family of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fungicides. A manuscript has been accepted for publication summarizing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conclusions drawn from research partially conducted in this project. In the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manuscript, resistance of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C. sojina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isolates to strobilurin fungicides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was found to be attributed to a mutation in the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cyt b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gene in the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fungus. The molecular probe that can be used to identify fungal isolates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resistant to strobilurin fungicides was also described in the manuscript. The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probe was used to assess the incidence of resistance to strobilurins in a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collection of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C. sojina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isolates collected in Arkansas and Illinois.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Future work will involve the additional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collection of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C. sojina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isolates. The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isolates will be screened for resistance to strobilurins.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C. sojina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isolates that had never been exposed to triazole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fungicides were assayed to determine their baseline sensitivity level to triazole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fungicides such as 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propiconazole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(Tilt; and a component of several pre-mix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fungicides), 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prothioconazole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(Proline), 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flutriafol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(Top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Guard), </w:t>
            </w:r>
            <w:proofErr w:type="spellStart"/>
            <w:proofErr w:type="gram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andtetraconazole</w:t>
            </w:r>
            <w:proofErr w:type="spellEnd"/>
            <w:proofErr w:type="gram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Domark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). Additional testing of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C. sojina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isolates collected from fields that have been sprayed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with 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triazoles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will be conducted in the future to determine if any shifts insensitivity have occurred relative to the baseline sensitivity.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right="-72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Monitoring of sensitivities to 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thiophanate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-methyl, strobilurin, triazole,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and SDHI fungicides in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C. kikuchii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was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initiated in Louisiana.  Approximately 33and 85% of the CLB pathogen population in Louisiana is resistant to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thiophanate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-methyl and strobilurin fungicides, respectively.  Populations have been monitored since 2011for shifts in triazole sensitivity.  Baseline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and subsequent sensitivities of the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C.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kikuchii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pathogen population to SDHI (Group 7) fungicides will be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determined in the future from isolates collected across the Mid-south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region.  Subsequent sensitivities to SDHI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fungicides will be determined from regional isolates and isolates from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participating locations. 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right="-72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Results of the conducted research will benefit the soybean industry. An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initial assessment of the distribution of strobilurin fungicide-resistant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C. sojina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isolates in the U.S. was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completed. Tools were also developed to improve and expedite the screens. This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information can be used to alert growers that different management practices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may be needed to slow down the development and spread of strobilurin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fungicide-resistant strains. In addition, the results of this research will be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used to develop management practices that can be used to manage frogeye leaf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spot in light of the strobilurin fungicide-resistant strains being present. 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right="-72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Identify sources of resistance and develop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resistant varieties and elite germplasm: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right="-72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Two conventional, S08-18186 and S07-2680 and two Roundup Ready S08-9936RR1and S08-9727RR1 group V soybean lines with excellent resistance to frogeye leaf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spot and soybean cyst nematode races 3 and 14 were developed.  Each of these lines has the Rcs3 gene for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broad resistance to frogeye races.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Yields of these lines have been excellent compared to widely grown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commercial varieties of similar maturity. Yield across soil types for the two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Roundup Ready lines compared to checks of similar on loam, clay and sandy soils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across three years was compiled.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 F2:7 RIL populations S05-11482 x PI592294</w:t>
            </w:r>
            <w:proofErr w:type="gram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,S07</w:t>
            </w:r>
            <w:proofErr w:type="gram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-5049 x PI592294, S05-11482 x PI458021 and S07-5049 x PI458021 were used to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map novel frogeye genes from PI592294 and PI458021. One hundred twelve (112</w:t>
            </w:r>
            <w:proofErr w:type="gram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)group</w:t>
            </w:r>
            <w:proofErr w:type="gram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IV and V advanced elite lines were screened for resistance to frogeye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leaf spot.  In addition, approximately 300 diverse </w:t>
            </w:r>
            <w:proofErr w:type="gram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group</w:t>
            </w:r>
            <w:proofErr w:type="gram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III, IV and V PIs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were planted and screened for resistance to frogeye leaf spot.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More than 50 FLS resistant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soybean accessions in MG III-V were identified by field screening that did not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have Davis (resistant to all known races of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C.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sojina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like haplotype of the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Rcs3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allele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based on SNP genotyping of the accessions.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These accessions may be very useful and need to be further characterized to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determine if they carry novel resistance genes that are different from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Rcs3.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These resistant accessions will be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tested in the future with 10 - 12 different races of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C. sojina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in the greenhouse to identify lines that are resistant to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all or most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C. sojina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races. Several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lines with the broadest resistance to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C.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sojina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races will be crossed with susceptible commercial cultivars to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develop segregating F2 populations and map new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non-Rcs3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genes for FLS resistance. Such genes will eventually be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used to develop commercial cultivars with marker- assisted breeding.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Determine effect of current fungicides on control of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Phomopsis seed decay: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An in vitro assay was developed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to test currently registered foliar fungicides for their effect on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Phomopsis longicolla.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Fungicides were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also tested in field experiments. Fungicides were applied at R3, early R5, or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late R5, and the effect of the fungicides on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Phomopsis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was assessed at two harvest times.  The highest yields with the early harvest were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with Alto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SL 5.5 fl.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oz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/A, Tilt 6 fl.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oz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/A, both applied at early R5, and Tilt,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applied at 4 fl.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oz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/A at R3.  At the late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harvest, yields of all treatments were lower, and the only treatments with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yields significantly greater than the control were Alto 4 fl.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oz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/A applied at R3or Early R5, and Tilt applied at 4 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oz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/a at R3 or early R5.  Percent seed infected with 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P. longicolla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was very low at harvest 1(0 to 0.8%), but rose dramatically when harvest was delayed, reaching 14.4%with Tilt applied at 4 fl.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oz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early R5. 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right="-72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Develop a unified soybean foliage disease prediction system for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Septoria brown spot, frogeye leaf spot, Cercospora leaf blight with a focus on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needs of soybean producers. 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right="-72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The goal</w:t>
            </w:r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of this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objective was to develop a soybean foliage disease forecast system to provide a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farm-specific forecast of the risk of soybean foliage diseases, including brown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spot, frogeye leaf spot, and Cercospora leaf blight. Prediction models help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soybean producers determine when and where appropriate fungicides should be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sprayed to maximize economic return.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ind w:right="-72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Data was collected during the first two years of the project to construct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the predictions models. However, due to a decrease in funds and a re-direction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of research efforts by USB, this objective was dropped in the last year of the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project. 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</w:rPr>
              <w:t>OUTREACHACTIVITIES: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Information from this research was used in presentations to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better inform soybean growers and the agricultural industry on the incidence,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control and management of foliar diseases of soybean.  A list of some of these presentations is below.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(Dr. Carl Bradley)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University of Illinois Extension - Corn and Soybean Classics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Meeting Series (January 2014 – at 6 different sites in IL – Champaign, Mt.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Vernon, Springfield, Peoria, Moline, and Malta). (Approximately 925 attendees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 total).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Iowa Soybean Association – On Farm Network Meeting (February2014, Ames, IA). (Approximately 45 attendees in this particular session).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Ag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Reliant</w:t>
            </w:r>
            <w:proofErr w:type="gram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Agronomy Training Meeting February 2014, Peoria,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IL). (Approximately 150 attendees). 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Joint NCERA 212/208 and Southern Soybean Disease Workers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Meeting (March 2014, Pensacola Beach, FL). (Approximately 40 attendees).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(Dr. Heather Young)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Multiple production meetings were held in counties across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Tennessee, in which results from soybean variety and fungicide trials were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presented and extension publications provided. Other integrated pest management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(IPM) practices were taught and resources were given out. 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(Dr. Trey Price)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Many producer meetings were held throughout Louisiana where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results from this project were presented.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Approximately 800-900 attendees total.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Multiple field days were held at research stations and farms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throughout Louisiana detailing results from this project.  Approximately 500 attendees total.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Sensitivity of </w:t>
            </w:r>
            <w:proofErr w:type="spellStart"/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Cercosporakikuchii</w:t>
            </w:r>
            <w:proofErr w:type="spellEnd"/>
            <w:r w:rsidRPr="00487E24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populations to methyl benzimidazole 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carbamate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quinone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outside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inhibitor, and 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demethylation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inhibitor fungicides.  Joint NCERA 212/208 and Southern Soybean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Disease Workers Meeting (March 2013, Pensacola Beach, FL). (Approximately 50attendees).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Cercospora leaf blight pathogen resistant to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fungicides.  Louisiana Agriculture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Magazine.  Winter 2014.  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Fungicide resistance issues in soybeans.  </w:t>
            </w:r>
            <w:proofErr w:type="spellStart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Mid South</w:t>
            </w:r>
            <w:proofErr w:type="spellEnd"/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Farm &amp; Gin Show.  February 28, 2014.  Approximately 50 attendees.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Soybeans:  disease resistance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 fungicides.  Louisiana Agricultural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Technology &amp; Management Conference.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February 13, 2014.  Approximately250 attendees.</w:t>
            </w:r>
          </w:p>
          <w:p w:rsidR="00487E24" w:rsidRPr="00487E24" w:rsidRDefault="00487E24" w:rsidP="00487E24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Fungicide resistance concerns in soybean production.  Conservation Systems Southern Corn and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Soybean Conference.  January 15 and 16, 2014.  Approximately 100 attendees.</w:t>
            </w:r>
            <w:r w:rsidRPr="00487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87E24" w:rsidRPr="00487E24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487E24" w:rsidRPr="00487E24" w:rsidRDefault="00487E24" w:rsidP="00487E2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7" w:name="SPBookmark_LegacyUserId"/>
            <w:bookmarkEnd w:id="7"/>
            <w:r w:rsidRPr="00487E24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Legacy User ID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EBF3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87E24" w:rsidRPr="00487E24" w:rsidRDefault="00487E24" w:rsidP="00487E24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487E24" w:rsidRPr="00487E24">
        <w:trPr>
          <w:tblCellSpacing w:w="0" w:type="dxa"/>
          <w:hidden/>
        </w:trPr>
        <w:tc>
          <w:tcPr>
            <w:tcW w:w="1000" w:type="pct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487E24" w:rsidRPr="00487E24" w:rsidRDefault="00487E24" w:rsidP="00487E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color w:val="525252"/>
                <w:sz w:val="17"/>
                <w:szCs w:val="17"/>
              </w:rPr>
            </w:pPr>
            <w:bookmarkStart w:id="8" w:name="SPBookmark_Attachments"/>
            <w:bookmarkEnd w:id="8"/>
            <w:r w:rsidRPr="00487E24">
              <w:rPr>
                <w:rFonts w:ascii="Verdana" w:eastAsia="Times New Roman" w:hAnsi="Verdana" w:cs="Times New Roman"/>
                <w:b/>
                <w:bCs/>
                <w:vanish/>
                <w:color w:val="525252"/>
                <w:sz w:val="17"/>
                <w:szCs w:val="17"/>
              </w:rPr>
              <w:t xml:space="preserve">Attachments </w:t>
            </w:r>
          </w:p>
        </w:tc>
        <w:tc>
          <w:tcPr>
            <w:tcW w:w="4000" w:type="pct"/>
            <w:tcBorders>
              <w:top w:val="single" w:sz="6" w:space="0" w:color="D8D8D8"/>
            </w:tcBorders>
            <w:shd w:val="clear" w:color="auto" w:fill="EBF3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87E24" w:rsidRPr="00487E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7E24" w:rsidRPr="00487E24" w:rsidRDefault="00487E24" w:rsidP="00487E2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87E24" w:rsidRPr="00487E24" w:rsidRDefault="00487E24" w:rsidP="00487E24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</w:rPr>
              <w:pict/>
            </w:r>
          </w:p>
        </w:tc>
      </w:tr>
    </w:tbl>
    <w:p w:rsidR="00487E24" w:rsidRPr="00487E24" w:rsidRDefault="00487E24" w:rsidP="00487E24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87E24" w:rsidRPr="00487E24">
        <w:trPr>
          <w:tblCellSpacing w:w="0" w:type="dxa"/>
        </w:trPr>
        <w:tc>
          <w:tcPr>
            <w:tcW w:w="0" w:type="auto"/>
            <w:tcBorders>
              <w:top w:val="single" w:sz="6" w:space="0" w:color="C4C4C4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87E24" w:rsidRPr="00487E24" w:rsidRDefault="00487E24" w:rsidP="00487E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://moss.unitedsoybean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ss.unitedsoybean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E24" w:rsidRPr="00487E24" w:rsidRDefault="00487E24" w:rsidP="00487E24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top w:w="10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87E24" w:rsidRPr="00487E2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87E24" w:rsidRPr="00487E24" w:rsidRDefault="00487E24" w:rsidP="00487E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87E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in;height:18pt" o:ole="">
                  <v:imagedata r:id="rId7" o:title=""/>
                </v:shape>
                <w:control r:id="rId8" w:name="DefaultOcxName" w:shapeid="_x0000_i1037"/>
              </w:objec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6"/>
            </w:tblGrid>
            <w:tr w:rsidR="00487E24" w:rsidRPr="00487E24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E24" w:rsidRPr="00487E24" w:rsidRDefault="00487E24" w:rsidP="00487E2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C4C4C"/>
                      <w:sz w:val="16"/>
                      <w:szCs w:val="16"/>
                    </w:rPr>
                  </w:pPr>
                  <w:r w:rsidRPr="00487E24">
                    <w:rPr>
                      <w:rFonts w:ascii="Tahoma" w:eastAsia="Times New Roman" w:hAnsi="Tahoma" w:cs="Tahoma"/>
                      <w:color w:val="4C4C4C"/>
                      <w:sz w:val="16"/>
                      <w:szCs w:val="16"/>
                    </w:rPr>
                    <w:t>Content Type: Project Status Report</w:t>
                  </w:r>
                </w:p>
              </w:tc>
            </w:tr>
          </w:tbl>
          <w:p w:rsidR="00487E24" w:rsidRPr="00487E24" w:rsidRDefault="00487E24" w:rsidP="00487E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87E24" w:rsidRPr="00487E24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4"/>
                  </w:tblGrid>
                  <w:tr w:rsidR="00487E24" w:rsidRPr="00487E2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87E24" w:rsidRPr="00487E24" w:rsidRDefault="00487E24" w:rsidP="00487E2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</w:rPr>
                        </w:pPr>
                        <w:r w:rsidRPr="00487E24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</w:rPr>
                          <w:t xml:space="preserve">Version: 1.0  </w:t>
                        </w:r>
                      </w:p>
                    </w:tc>
                  </w:tr>
                  <w:tr w:rsidR="00487E24" w:rsidRPr="00487E2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487E24" w:rsidRPr="00487E24" w:rsidRDefault="00487E24" w:rsidP="00487E2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</w:rPr>
                        </w:pPr>
                        <w:r w:rsidRPr="00487E24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</w:rPr>
                          <w:t xml:space="preserve">Created at 10/30/2014 9:15 PM  by </w:t>
                        </w:r>
                        <w:hyperlink r:id="rId9" w:history="1">
                          <w:proofErr w:type="spellStart"/>
                          <w:r w:rsidRPr="00487E24">
                            <w:rPr>
                              <w:rFonts w:ascii="Tahoma" w:eastAsia="Times New Roman" w:hAnsi="Tahoma" w:cs="Tahoma"/>
                              <w:color w:val="3966BF"/>
                              <w:sz w:val="16"/>
                              <w:szCs w:val="16"/>
                            </w:rPr>
                            <w:t>ahmad</w:t>
                          </w:r>
                          <w:proofErr w:type="spellEnd"/>
                          <w:r w:rsidRPr="00487E24">
                            <w:rPr>
                              <w:rFonts w:ascii="Tahoma" w:eastAsia="Times New Roman" w:hAnsi="Tahoma" w:cs="Tahoma"/>
                              <w:color w:val="3966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87E24">
                            <w:rPr>
                              <w:rFonts w:ascii="Tahoma" w:eastAsia="Times New Roman" w:hAnsi="Tahoma" w:cs="Tahoma"/>
                              <w:color w:val="3966BF"/>
                              <w:sz w:val="16"/>
                              <w:szCs w:val="16"/>
                            </w:rPr>
                            <w:t>fakhoury</w:t>
                          </w:r>
                          <w:proofErr w:type="spellEnd"/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3" name="Picture 3" descr="http://moss.unitedsoybean.org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moss.unitedsoybean.org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color w:val="3966BF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14300" cy="114300"/>
                              <wp:effectExtent l="0" t="0" r="0" b="0"/>
                              <wp:docPr id="2" name="Picture 2" descr="No presence information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n0,type=smtp" descr="No presence information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87E24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</w:tr>
                  <w:tr w:rsidR="00487E24" w:rsidRPr="00487E2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487E24" w:rsidRPr="00487E24" w:rsidRDefault="00487E24" w:rsidP="00487E2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</w:rPr>
                        </w:pPr>
                        <w:r w:rsidRPr="00487E24">
                          <w:rPr>
                            <w:rFonts w:ascii="Tahoma" w:eastAsia="Times New Roman" w:hAnsi="Tahoma" w:cs="Tahoma"/>
                            <w:color w:val="4C4C4C"/>
                            <w:sz w:val="16"/>
                            <w:szCs w:val="16"/>
                          </w:rPr>
                          <w:t xml:space="preserve">Last modified at 10/30/2014 9:15 PM  by </w:t>
                        </w:r>
                        <w:hyperlink r:id="rId11" w:history="1">
                          <w:proofErr w:type="spellStart"/>
                          <w:r w:rsidRPr="00487E24">
                            <w:rPr>
                              <w:rFonts w:ascii="Tahoma" w:eastAsia="Times New Roman" w:hAnsi="Tahoma" w:cs="Tahoma"/>
                              <w:color w:val="3966BF"/>
                              <w:sz w:val="16"/>
                              <w:szCs w:val="16"/>
                            </w:rPr>
                            <w:t>ahmad</w:t>
                          </w:r>
                          <w:proofErr w:type="spellEnd"/>
                          <w:r w:rsidRPr="00487E24">
                            <w:rPr>
                              <w:rFonts w:ascii="Tahoma" w:eastAsia="Times New Roman" w:hAnsi="Tahoma" w:cs="Tahoma"/>
                              <w:color w:val="3966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87E24">
                            <w:rPr>
                              <w:rFonts w:ascii="Tahoma" w:eastAsia="Times New Roman" w:hAnsi="Tahoma" w:cs="Tahoma"/>
                              <w:color w:val="3966BF"/>
                              <w:sz w:val="16"/>
                              <w:szCs w:val="16"/>
                            </w:rPr>
                            <w:t>fakhoury</w:t>
                          </w:r>
                          <w:proofErr w:type="spellEnd"/>
                        </w:hyperlink>
                        <w:r>
                          <w:rPr>
                            <w:rFonts w:ascii="Tahoma" w:eastAsia="Times New Roman" w:hAnsi="Tahoma" w:cs="Tahoma"/>
                            <w:noProof/>
                            <w:color w:val="4C4C4C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1" name="Picture 1" descr="http://moss.unitedsoybean.org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moss.unitedsoybean.org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87E24" w:rsidRPr="00487E24" w:rsidRDefault="00487E24" w:rsidP="00487E24">
                  <w:pPr>
                    <w:spacing w:after="105" w:line="240" w:lineRule="auto"/>
                    <w:jc w:val="center"/>
                    <w:rPr>
                      <w:rFonts w:ascii="Verdana" w:eastAsia="Times New Roman" w:hAnsi="Verdana" w:cs="Times New Roman"/>
                      <w:color w:val="003399"/>
                      <w:sz w:val="16"/>
                      <w:szCs w:val="16"/>
                    </w:rPr>
                  </w:pPr>
                </w:p>
              </w:tc>
            </w:tr>
          </w:tbl>
          <w:p w:rsidR="00487E24" w:rsidRPr="00487E24" w:rsidRDefault="00487E24" w:rsidP="00487E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9E4CC3" w:rsidRDefault="009E4CC3">
      <w:bookmarkStart w:id="9" w:name="_GoBack"/>
      <w:bookmarkEnd w:id="9"/>
    </w:p>
    <w:sectPr w:rsidR="009E4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24"/>
    <w:rsid w:val="00487E24"/>
    <w:rsid w:val="009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7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7E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87E24"/>
    <w:rPr>
      <w:b/>
      <w:bCs/>
    </w:rPr>
  </w:style>
  <w:style w:type="paragraph" w:styleId="ListParagraph">
    <w:name w:val="List Paragraph"/>
    <w:basedOn w:val="Normal"/>
    <w:uiPriority w:val="34"/>
    <w:qFormat/>
    <w:rsid w:val="0048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7E24"/>
    <w:rPr>
      <w:i/>
      <w:iCs/>
    </w:rPr>
  </w:style>
  <w:style w:type="paragraph" w:customStyle="1" w:styleId="colorfullist-accent11">
    <w:name w:val="colorfullist-accent11"/>
    <w:basedOn w:val="Normal"/>
    <w:rsid w:val="0048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7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7E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87E24"/>
    <w:rPr>
      <w:b/>
      <w:bCs/>
    </w:rPr>
  </w:style>
  <w:style w:type="paragraph" w:styleId="ListParagraph">
    <w:name w:val="List Paragraph"/>
    <w:basedOn w:val="Normal"/>
    <w:uiPriority w:val="34"/>
    <w:qFormat/>
    <w:rsid w:val="0048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7E24"/>
    <w:rPr>
      <w:i/>
      <w:iCs/>
    </w:rPr>
  </w:style>
  <w:style w:type="paragraph" w:customStyle="1" w:styleId="colorfullist-accent11">
    <w:name w:val="colorfullist-accent11"/>
    <w:basedOn w:val="Normal"/>
    <w:rsid w:val="0048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moss.unitedsoybean.org/_layouts/userdisp.aspx?ID=1153" TargetMode="External"/><Relationship Id="rId5" Type="http://schemas.openxmlformats.org/officeDocument/2006/relationships/hyperlink" Target="http://moss.unitedsoybean.org/Lists/Proposals/DispForm.aspx?ID=2730&amp;RootFolder=*" TargetMode="External"/><Relationship Id="rId10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s.unitedsoybean.org/_layouts/userdisp.aspx?ID=115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Williams</dc:creator>
  <cp:lastModifiedBy>Katie Williams</cp:lastModifiedBy>
  <cp:revision>1</cp:revision>
  <dcterms:created xsi:type="dcterms:W3CDTF">2014-11-03T14:29:00Z</dcterms:created>
  <dcterms:modified xsi:type="dcterms:W3CDTF">2014-11-03T14:40:00Z</dcterms:modified>
</cp:coreProperties>
</file>