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405"/>
        <w:gridCol w:w="73"/>
        <w:gridCol w:w="12"/>
      </w:tblGrid>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rsidR="00335A26" w:rsidRPr="009D5AFE" w:rsidRDefault="00D67D8F" w:rsidP="00C602B2">
            <w:r>
              <w:t>1520-732-7232</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D67D8F" w:rsidP="00C602B2">
            <w:r>
              <w:t>Sustaining fungicide performance through fungicide resistance outreach education</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D67D8F" w:rsidP="00C602B2">
            <w:r>
              <w:t>University of Illinois</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D67D8F" w:rsidP="00C602B2">
            <w:r>
              <w:t>Carl Bradley</w:t>
            </w:r>
          </w:p>
        </w:tc>
      </w:tr>
      <w:tr w:rsidR="00773484" w:rsidTr="00406CFF">
        <w:trPr>
          <w:gridBefore w:val="1"/>
          <w:gridAfter w:val="2"/>
          <w:wBefore w:w="18" w:type="dxa"/>
          <w:wAfter w:w="85" w:type="dxa"/>
        </w:trPr>
        <w:tc>
          <w:tcPr>
            <w:tcW w:w="8735" w:type="dxa"/>
            <w:gridSpan w:val="2"/>
            <w:tcMar>
              <w:top w:w="43" w:type="dxa"/>
              <w:left w:w="0" w:type="dxa"/>
              <w:bottom w:w="43" w:type="dxa"/>
              <w:right w:w="0" w:type="dxa"/>
            </w:tcMar>
          </w:tcPr>
          <w:p w:rsidR="00773484" w:rsidRPr="00693D9D" w:rsidRDefault="00773484" w:rsidP="004C0762">
            <w:pPr>
              <w:pStyle w:val="Heading2"/>
              <w:numPr>
                <w:ilvl w:val="0"/>
                <w:numId w:val="0"/>
              </w:numPr>
              <w:outlineLvl w:val="1"/>
              <w:rPr>
                <w:b w:val="0"/>
              </w:rPr>
            </w:pPr>
            <w:r w:rsidRPr="00693D9D">
              <w:t xml:space="preserve">Project </w:t>
            </w:r>
            <w:r w:rsidR="004C0762">
              <w:t>Overview</w:t>
            </w:r>
            <w:r w:rsidR="00FF4F4F" w:rsidRPr="00693D9D">
              <w:rPr>
                <w:b w:val="0"/>
              </w:rPr>
              <w:t xml:space="preserve"> - W</w:t>
            </w:r>
            <w:r w:rsidR="00FF4F4F" w:rsidRPr="00693D9D">
              <w:rPr>
                <w:b w:val="0"/>
                <w:bCs w:val="0"/>
              </w:rPr>
              <w:t xml:space="preserve">hat </w:t>
            </w:r>
            <w:r w:rsidR="0025429E">
              <w:rPr>
                <w:b w:val="0"/>
                <w:bCs w:val="0"/>
              </w:rPr>
              <w:t xml:space="preserve">key activities were undertaken and what were the key </w:t>
            </w:r>
            <w:r w:rsidR="00FF4F4F" w:rsidRPr="00693D9D">
              <w:rPr>
                <w:b w:val="0"/>
                <w:bCs w:val="0"/>
              </w:rPr>
              <w:t>accomplis</w:t>
            </w:r>
            <w:r w:rsidR="0025429E">
              <w:rPr>
                <w:b w:val="0"/>
                <w:bCs w:val="0"/>
              </w:rPr>
              <w:t>hments</w:t>
            </w:r>
            <w:r w:rsidR="00FF4F4F" w:rsidRPr="00693D9D">
              <w:rPr>
                <w:b w:val="0"/>
                <w:bCs w:val="0"/>
              </w:rPr>
              <w:t xml:space="preserve"> during the life of </w:t>
            </w:r>
            <w:r w:rsidR="004C0762">
              <w:rPr>
                <w:b w:val="0"/>
                <w:bCs w:val="0"/>
              </w:rPr>
              <w:t>this</w:t>
            </w:r>
            <w:r w:rsidR="00FF4F4F" w:rsidRPr="00693D9D">
              <w:rPr>
                <w:b w:val="0"/>
                <w:bCs w:val="0"/>
              </w:rPr>
              <w:t xml:space="preserve"> project</w:t>
            </w:r>
            <w:r w:rsidR="00083E61" w:rsidRPr="00693D9D">
              <w:rPr>
                <w:b w:val="0"/>
              </w:rPr>
              <w:t>?</w:t>
            </w:r>
            <w:r w:rsidR="00693D9D" w:rsidRPr="00693D9D">
              <w:rPr>
                <w:b w:val="0"/>
              </w:rPr>
              <w:t xml:space="preserve">  </w:t>
            </w:r>
          </w:p>
        </w:tc>
      </w:tr>
      <w:tr w:rsidR="00773484" w:rsidTr="00406CFF">
        <w:trPr>
          <w:gridBefore w:val="1"/>
          <w:gridAfter w:val="2"/>
          <w:wBefore w:w="18" w:type="dxa"/>
          <w:wAfter w:w="85" w:type="dxa"/>
          <w:trHeight w:val="1630"/>
        </w:trPr>
        <w:tc>
          <w:tcPr>
            <w:tcW w:w="8735" w:type="dxa"/>
            <w:gridSpan w:val="2"/>
            <w:tcMar>
              <w:top w:w="43" w:type="dxa"/>
              <w:left w:w="0" w:type="dxa"/>
              <w:bottom w:w="43" w:type="dxa"/>
              <w:right w:w="0" w:type="dxa"/>
            </w:tcMar>
          </w:tcPr>
          <w:p w:rsidR="007823B2" w:rsidRDefault="00D67D8F" w:rsidP="0041728E">
            <w:r>
              <w:t>The key activities undertaken were the development of educational material with the purpose of educating farmers, crop consultants, extension personnel, industry representatives, and others in the agricultural industry about the risk of fungicide resistance development in fungal pathogens of soybean.  The activities undertaken were to develop:</w:t>
            </w:r>
          </w:p>
          <w:p w:rsidR="00D67D8F" w:rsidRDefault="00D67D8F" w:rsidP="0041728E">
            <w:r>
              <w:t>-A website for information about fungicide resistance in soybean pathogens</w:t>
            </w:r>
          </w:p>
          <w:p w:rsidR="00D67D8F" w:rsidRDefault="00D67D8F" w:rsidP="0041728E">
            <w:r>
              <w:t>-Webcast presentations about fungicide resistance and disease management</w:t>
            </w:r>
          </w:p>
          <w:p w:rsidR="00D67D8F" w:rsidRDefault="00D67D8F" w:rsidP="0041728E">
            <w:r>
              <w:t>-Educational document about fungicide resistance</w:t>
            </w:r>
          </w:p>
          <w:p w:rsidR="00D67D8F" w:rsidRDefault="00D67D8F" w:rsidP="00180EC4">
            <w:r>
              <w:t>-</w:t>
            </w:r>
            <w:r w:rsidR="00180EC4">
              <w:t>A fungicide chemistry classification poster</w:t>
            </w:r>
          </w:p>
        </w:tc>
      </w:tr>
      <w:tr w:rsidR="00D04C40" w:rsidTr="00406CFF">
        <w:trPr>
          <w:gridBefore w:val="1"/>
          <w:wBefore w:w="18" w:type="dxa"/>
        </w:trPr>
        <w:tc>
          <w:tcPr>
            <w:tcW w:w="8820" w:type="dxa"/>
            <w:gridSpan w:val="4"/>
            <w:tcMar>
              <w:top w:w="43" w:type="dxa"/>
              <w:left w:w="0" w:type="dxa"/>
              <w:bottom w:w="43" w:type="dxa"/>
              <w:right w:w="0" w:type="dxa"/>
            </w:tcMar>
          </w:tcPr>
          <w:p w:rsidR="00D04C40" w:rsidRPr="00BD1E89" w:rsidRDefault="00406CFF" w:rsidP="009E0DA6">
            <w:pPr>
              <w:pStyle w:val="Heading2"/>
              <w:numPr>
                <w:ilvl w:val="0"/>
                <w:numId w:val="0"/>
              </w:numPr>
              <w:ind w:left="576" w:hanging="576"/>
              <w:outlineLvl w:val="1"/>
              <w:rPr>
                <w:i/>
              </w:rPr>
            </w:pPr>
            <w:r>
              <w:t xml:space="preserve">Deliverables - </w:t>
            </w:r>
            <w:r w:rsidR="00D04C40" w:rsidRPr="00406CFF">
              <w:rPr>
                <w:b w:val="0"/>
              </w:rPr>
              <w:t>List each</w:t>
            </w:r>
            <w:r w:rsidR="00D04C40">
              <w:rPr>
                <w:b w:val="0"/>
              </w:rPr>
              <w:t xml:space="preserve"> deliverable</w:t>
            </w:r>
            <w:r w:rsidR="00D04C40" w:rsidRPr="00FF4F4F">
              <w:rPr>
                <w:b w:val="0"/>
              </w:rPr>
              <w:t xml:space="preserve"> and indicate whether or not it was </w:t>
            </w:r>
            <w:r w:rsidR="00D04C40">
              <w:rPr>
                <w:b w:val="0"/>
              </w:rPr>
              <w:t>supplied and if not supplied, please provide an explanation as to why</w:t>
            </w:r>
            <w:r w:rsidR="00D04C40" w:rsidRPr="00FF4F4F">
              <w:rPr>
                <w:b w:val="0"/>
              </w:rPr>
              <w:t>.</w:t>
            </w:r>
          </w:p>
        </w:tc>
      </w:tr>
      <w:tr w:rsidR="00D04C40" w:rsidTr="00406CFF">
        <w:trPr>
          <w:gridBefore w:val="1"/>
          <w:wBefore w:w="18" w:type="dxa"/>
          <w:trHeight w:val="658"/>
        </w:trPr>
        <w:tc>
          <w:tcPr>
            <w:tcW w:w="8820" w:type="dxa"/>
            <w:gridSpan w:val="4"/>
            <w:tcMar>
              <w:top w:w="43" w:type="dxa"/>
              <w:left w:w="0" w:type="dxa"/>
              <w:bottom w:w="43" w:type="dxa"/>
              <w:right w:w="0" w:type="dxa"/>
            </w:tcMar>
          </w:tcPr>
          <w:p w:rsidR="00D04C40" w:rsidRDefault="00180EC4" w:rsidP="009E0DA6">
            <w:r>
              <w:t>The following deliverables were supplied:</w:t>
            </w:r>
          </w:p>
          <w:p w:rsidR="00180EC4" w:rsidRDefault="00180EC4" w:rsidP="009E0DA6">
            <w:r>
              <w:t>-A Soybean Fungicide Resistance Hub website was developed as part of the Plant Management Network (</w:t>
            </w:r>
            <w:hyperlink r:id="rId8" w:history="1">
              <w:r w:rsidRPr="00511951">
                <w:rPr>
                  <w:rStyle w:val="Hyperlink"/>
                  <w:sz w:val="18"/>
                </w:rPr>
                <w:t>www.plantmanagementnetwork.org</w:t>
              </w:r>
            </w:hyperlink>
            <w:r>
              <w:t>)</w:t>
            </w:r>
          </w:p>
          <w:p w:rsidR="00180EC4" w:rsidRDefault="00180EC4" w:rsidP="009E0DA6">
            <w:r>
              <w:t>-In total, 4 webcast presentations were developed and are available on the Soybean Fungicide Resistance Hub, and a final fifth presentation is in development:</w:t>
            </w:r>
          </w:p>
          <w:p w:rsidR="00180EC4" w:rsidRDefault="00180EC4" w:rsidP="009E0DA6">
            <w:r>
              <w:t>1. Principles of fungicide resistance: focusing on soybean and corn production (Carl Bradley)</w:t>
            </w:r>
          </w:p>
          <w:p w:rsidR="00180EC4" w:rsidRDefault="00180EC4" w:rsidP="009E0DA6">
            <w:r>
              <w:t>2. Fungicide resistance in the Cercospora leaf blight and purple seed stain pathogen of soybean (Trey Price)</w:t>
            </w:r>
          </w:p>
          <w:p w:rsidR="00180EC4" w:rsidRDefault="00180EC4" w:rsidP="009E0DA6">
            <w:r>
              <w:t>3. Management of frogeye leaf spot and fungicide resistance (Heather Kelly)</w:t>
            </w:r>
          </w:p>
          <w:p w:rsidR="00180EC4" w:rsidRDefault="00180EC4" w:rsidP="009E0DA6">
            <w:r>
              <w:t xml:space="preserve">4. Fungicide resistance: a case study on </w:t>
            </w:r>
            <w:proofErr w:type="spellStart"/>
            <w:r>
              <w:t>QoI</w:t>
            </w:r>
            <w:proofErr w:type="spellEnd"/>
            <w:r>
              <w:t xml:space="preserve"> resistant </w:t>
            </w:r>
            <w:proofErr w:type="spellStart"/>
            <w:r w:rsidRPr="00180EC4">
              <w:rPr>
                <w:i/>
              </w:rPr>
              <w:t>Rhizoctonia</w:t>
            </w:r>
            <w:proofErr w:type="spellEnd"/>
            <w:r w:rsidRPr="00180EC4">
              <w:rPr>
                <w:i/>
              </w:rPr>
              <w:t xml:space="preserve"> </w:t>
            </w:r>
            <w:proofErr w:type="spellStart"/>
            <w:r w:rsidRPr="00180EC4">
              <w:rPr>
                <w:i/>
              </w:rPr>
              <w:t>solani</w:t>
            </w:r>
            <w:proofErr w:type="spellEnd"/>
            <w:r>
              <w:t xml:space="preserve"> (Clayton Hollier)</w:t>
            </w:r>
          </w:p>
          <w:p w:rsidR="00180EC4" w:rsidRDefault="00180EC4" w:rsidP="009E0DA6">
            <w:r>
              <w:t xml:space="preserve">5. The final webcast presentation is in development and will be recorded by the middle of 2016. The development of this presentation was delayed due to difficulties finding a speaker.  The final webcast will be about fungicide sensitivity of </w:t>
            </w:r>
            <w:r>
              <w:rPr>
                <w:i/>
              </w:rPr>
              <w:t xml:space="preserve">Pythium </w:t>
            </w:r>
            <w:r>
              <w:t>species and will be presented by Anne Dorrance.</w:t>
            </w:r>
          </w:p>
          <w:p w:rsidR="00180EC4" w:rsidRDefault="00180EC4" w:rsidP="009E0DA6">
            <w:r>
              <w:t>-An educational document: Principles of fungicide resistance by C.A. Bradley, C. Hollier, and H. Kelly was developed and will be made available on the Soybean Fungicide Resistance Hub</w:t>
            </w:r>
          </w:p>
          <w:p w:rsidR="00180EC4" w:rsidRPr="00180EC4" w:rsidRDefault="00180EC4" w:rsidP="009E0DA6">
            <w:r>
              <w:t>-A fungicide classification poster was developed (by H. Kelly, C.A. Bradley, and C. Hollier) and will be made available on the Soybean Fungicide Resistance Hub</w:t>
            </w:r>
          </w:p>
          <w:p w:rsidR="00D04C40" w:rsidRDefault="00D04C40" w:rsidP="009E0DA6">
            <w:pPr>
              <w:rPr>
                <w:b/>
              </w:rPr>
            </w:pPr>
          </w:p>
          <w:p w:rsidR="00D04C40" w:rsidRDefault="00D04C40" w:rsidP="009E0DA6">
            <w:pPr>
              <w:rPr>
                <w:b/>
              </w:rPr>
            </w:pPr>
          </w:p>
          <w:p w:rsidR="00D04C40" w:rsidRDefault="00D04C40" w:rsidP="009E0DA6">
            <w:pPr>
              <w:rPr>
                <w:b/>
              </w:rPr>
            </w:pPr>
          </w:p>
        </w:tc>
      </w:tr>
      <w:tr w:rsidR="00EA0768" w:rsidTr="00406CFF">
        <w:tblPrEx>
          <w:jc w:val="center"/>
          <w:tblInd w:w="0" w:type="dxa"/>
        </w:tblPrEx>
        <w:trPr>
          <w:gridAfter w:val="1"/>
          <w:wAfter w:w="12" w:type="dxa"/>
          <w:jc w:val="center"/>
        </w:trPr>
        <w:tc>
          <w:tcPr>
            <w:tcW w:w="8826" w:type="dxa"/>
            <w:gridSpan w:val="4"/>
          </w:tcPr>
          <w:p w:rsidR="00D42DA7" w:rsidRPr="00D42DA7" w:rsidRDefault="00EA0768" w:rsidP="007249F5">
            <w:pPr>
              <w:pStyle w:val="Heading2"/>
              <w:numPr>
                <w:ilvl w:val="0"/>
                <w:numId w:val="0"/>
              </w:numPr>
              <w:ind w:left="576" w:hanging="576"/>
              <w:outlineLvl w:val="1"/>
            </w:pPr>
            <w:r>
              <w:t xml:space="preserve">Did this </w:t>
            </w:r>
            <w:r w:rsidR="00CA4CDD">
              <w:t>p</w:t>
            </w:r>
            <w:r>
              <w:t xml:space="preserve">roject meet the </w:t>
            </w:r>
            <w:r w:rsidR="00FF4F4F">
              <w:t>intended K</w:t>
            </w:r>
            <w:r w:rsidR="001B5C81">
              <w:t xml:space="preserve">ey </w:t>
            </w:r>
            <w:r w:rsidR="00FF4F4F">
              <w:t>P</w:t>
            </w:r>
            <w:r w:rsidR="001B5C81">
              <w:t xml:space="preserve">erformance </w:t>
            </w:r>
            <w:r w:rsidR="00FF4F4F">
              <w:t>I</w:t>
            </w:r>
            <w:r w:rsidR="001B5C81">
              <w:t>ndicator</w:t>
            </w:r>
            <w:r w:rsidR="00FF4F4F">
              <w:t>s</w:t>
            </w:r>
            <w:r w:rsidR="001B5C81">
              <w:t xml:space="preserve"> (KPIs)</w:t>
            </w:r>
            <w:r w:rsidR="00C71FDE">
              <w:t>?</w:t>
            </w:r>
            <w:r w:rsidR="00FF4F4F">
              <w:t xml:space="preserve"> </w:t>
            </w:r>
            <w:r w:rsidR="00FF4F4F" w:rsidRPr="00FF4F4F">
              <w:rPr>
                <w:b w:val="0"/>
              </w:rPr>
              <w:t xml:space="preserve">List each KPI and </w:t>
            </w:r>
            <w:r w:rsidR="007249F5">
              <w:rPr>
                <w:b w:val="0"/>
              </w:rPr>
              <w:t xml:space="preserve">describe progress made (or not made) toward addressing it, including metrics where appropriate.  </w:t>
            </w:r>
          </w:p>
        </w:tc>
      </w:tr>
      <w:tr w:rsidR="00FF4F4F" w:rsidTr="00406CFF">
        <w:tblPrEx>
          <w:jc w:val="center"/>
          <w:tblInd w:w="0" w:type="dxa"/>
        </w:tblPrEx>
        <w:trPr>
          <w:gridAfter w:val="1"/>
          <w:wAfter w:w="12" w:type="dxa"/>
          <w:trHeight w:val="1421"/>
          <w:jc w:val="center"/>
        </w:trPr>
        <w:tc>
          <w:tcPr>
            <w:tcW w:w="8826" w:type="dxa"/>
            <w:gridSpan w:val="4"/>
          </w:tcPr>
          <w:p w:rsidR="00FF4F4F" w:rsidRDefault="002367F2" w:rsidP="00FF4F4F">
            <w:r>
              <w:t>The Key Performance Indicators were:</w:t>
            </w:r>
          </w:p>
          <w:p w:rsidR="002367F2" w:rsidRDefault="002367F2" w:rsidP="002367F2">
            <w:pPr>
              <w:pStyle w:val="ListParagraph"/>
              <w:numPr>
                <w:ilvl w:val="0"/>
                <w:numId w:val="45"/>
              </w:numPr>
            </w:pPr>
            <w:r>
              <w:t>Develop fungicide classification poster by March 31, 2015, and make it available to the public through the Plant Management Network by September 30, 2015.  This KPI was met, but was not met by the deadlines set.  The deadlines were not met due to Dr. Bradley moving to the University of Kentucky, which delayed the progress.</w:t>
            </w:r>
          </w:p>
          <w:p w:rsidR="002367F2" w:rsidRDefault="002367F2" w:rsidP="002367F2">
            <w:pPr>
              <w:pStyle w:val="ListParagraph"/>
              <w:numPr>
                <w:ilvl w:val="0"/>
                <w:numId w:val="45"/>
              </w:numPr>
            </w:pPr>
            <w:r>
              <w:t xml:space="preserve">Develop two webcasts focusing on fungicide resistance and make them available to the public through the Plant Management Network by June 30, 2015.  This KPI was met, but the final webcast presentation is not yet available on the Plant Management Network.  This was delayed </w:t>
            </w:r>
            <w:r>
              <w:lastRenderedPageBreak/>
              <w:t>due to difficulty in finding an available presenter.  Dr. Anne Dorrance has agreed to do this and will be recording the webcast.</w:t>
            </w:r>
          </w:p>
          <w:p w:rsidR="00FF4F4F" w:rsidRDefault="00FF4F4F" w:rsidP="00FF4F4F"/>
          <w:p w:rsidR="00FF4F4F" w:rsidRDefault="00FF4F4F" w:rsidP="00FF4F4F"/>
          <w:p w:rsidR="00FF4F4F" w:rsidRDefault="00FF4F4F" w:rsidP="00FF4F4F"/>
          <w:p w:rsidR="00FF4F4F" w:rsidRPr="00FF4F4F" w:rsidRDefault="00FF4F4F" w:rsidP="00FF4F4F"/>
        </w:tc>
      </w:tr>
      <w:tr w:rsidR="00FF4F4F" w:rsidTr="00406CFF">
        <w:trPr>
          <w:trHeight w:val="442"/>
        </w:trPr>
        <w:tc>
          <w:tcPr>
            <w:tcW w:w="8838" w:type="dxa"/>
            <w:gridSpan w:val="5"/>
            <w:tcMar>
              <w:top w:w="43" w:type="dxa"/>
              <w:left w:w="0" w:type="dxa"/>
              <w:bottom w:w="43" w:type="dxa"/>
              <w:right w:w="0" w:type="dxa"/>
            </w:tcMar>
          </w:tcPr>
          <w:p w:rsidR="00FF4F4F" w:rsidRPr="00FF4F4F" w:rsidRDefault="00406CFF" w:rsidP="00083E61">
            <w:pPr>
              <w:pStyle w:val="Heading2"/>
              <w:numPr>
                <w:ilvl w:val="0"/>
                <w:numId w:val="0"/>
              </w:numPr>
              <w:ind w:left="576" w:hanging="576"/>
              <w:outlineLvl w:val="1"/>
            </w:pPr>
            <w:r>
              <w:lastRenderedPageBreak/>
              <w:t>W</w:t>
            </w:r>
            <w:r w:rsidRPr="00BD1E89">
              <w:t>hat, if any, follow-on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rsidTr="00406CFF">
        <w:trPr>
          <w:trHeight w:val="946"/>
        </w:trPr>
        <w:tc>
          <w:tcPr>
            <w:tcW w:w="8838" w:type="dxa"/>
            <w:gridSpan w:val="5"/>
            <w:tcMar>
              <w:top w:w="43" w:type="dxa"/>
              <w:left w:w="0" w:type="dxa"/>
              <w:bottom w:w="43" w:type="dxa"/>
              <w:right w:w="0" w:type="dxa"/>
            </w:tcMar>
          </w:tcPr>
          <w:p w:rsidR="00AB4B27" w:rsidRPr="00083E61" w:rsidRDefault="002367F2" w:rsidP="00FF4F4F">
            <w:pPr>
              <w:pStyle w:val="Heading2"/>
              <w:numPr>
                <w:ilvl w:val="0"/>
                <w:numId w:val="0"/>
              </w:numPr>
              <w:ind w:left="576" w:hanging="576"/>
              <w:outlineLvl w:val="1"/>
              <w:rPr>
                <w:b w:val="0"/>
              </w:rPr>
            </w:pPr>
            <w:r>
              <w:rPr>
                <w:b w:val="0"/>
              </w:rPr>
              <w:t>To make this project more successful, it is important to publicize the educational material that was developed.  In addition, it is important to get “buy-in” from other extension personnel from other states so that they will also utilize and publicize the information.</w:t>
            </w:r>
          </w:p>
        </w:tc>
      </w:tr>
      <w:tr w:rsidR="00BD1E89" w:rsidTr="00406CFF">
        <w:tc>
          <w:tcPr>
            <w:tcW w:w="8838" w:type="dxa"/>
            <w:gridSpan w:val="5"/>
            <w:tcMar>
              <w:top w:w="43" w:type="dxa"/>
              <w:left w:w="0" w:type="dxa"/>
              <w:bottom w:w="43" w:type="dxa"/>
              <w:right w:w="0" w:type="dxa"/>
            </w:tcMar>
          </w:tcPr>
          <w:p w:rsidR="00BD1E89" w:rsidRPr="00BD1E89" w:rsidRDefault="00406CFF" w:rsidP="00406CFF">
            <w:pPr>
              <w:rPr>
                <w:i/>
              </w:rPr>
            </w:pPr>
            <w:r w:rsidRPr="00406CFF">
              <w:rPr>
                <w:rFonts w:cs="Times New Roman"/>
                <w:b/>
                <w:iCs/>
                <w:color w:val="000000" w:themeColor="text1"/>
                <w:kern w:val="0"/>
                <w:sz w:val="20"/>
                <w:szCs w:val="28"/>
              </w:rPr>
              <w:t>Describe any unforeseen events or circumstances that may have affected project timeline, costs, or deliverables.</w:t>
            </w:r>
          </w:p>
        </w:tc>
      </w:tr>
      <w:tr w:rsidR="00BD1E89" w:rsidTr="00406CFF">
        <w:trPr>
          <w:trHeight w:val="658"/>
        </w:trPr>
        <w:tc>
          <w:tcPr>
            <w:tcW w:w="8838" w:type="dxa"/>
            <w:gridSpan w:val="5"/>
            <w:tcMar>
              <w:top w:w="43" w:type="dxa"/>
              <w:left w:w="0" w:type="dxa"/>
              <w:bottom w:w="43" w:type="dxa"/>
              <w:right w:w="0" w:type="dxa"/>
            </w:tcMar>
          </w:tcPr>
          <w:p w:rsidR="00BD1E89" w:rsidRPr="00704574" w:rsidRDefault="002367F2" w:rsidP="00FF4F4F">
            <w:r>
              <w:t>Dr. Bradley’s move to the University of Kentucky delayed the progress of the timeline.  All of the objectives have been met, but some were delayed.</w:t>
            </w:r>
          </w:p>
          <w:p w:rsidR="00BD1E89" w:rsidRDefault="00BD1E89" w:rsidP="00FF4F4F">
            <w:pPr>
              <w:rPr>
                <w:b/>
              </w:rPr>
            </w:pPr>
          </w:p>
          <w:p w:rsidR="00BD1E89" w:rsidRDefault="00BD1E89" w:rsidP="00FF4F4F">
            <w:pPr>
              <w:rPr>
                <w:b/>
              </w:rPr>
            </w:pPr>
          </w:p>
          <w:p w:rsidR="00BD1E89" w:rsidRDefault="00BD1E89" w:rsidP="00FF4F4F">
            <w:pPr>
              <w:rPr>
                <w:b/>
              </w:rPr>
            </w:pPr>
          </w:p>
        </w:tc>
      </w:tr>
      <w:tr w:rsidR="00406CFF" w:rsidTr="00406CFF">
        <w:trPr>
          <w:trHeight w:val="235"/>
        </w:trPr>
        <w:tc>
          <w:tcPr>
            <w:tcW w:w="8838" w:type="dxa"/>
            <w:gridSpan w:val="5"/>
            <w:tcMar>
              <w:top w:w="43" w:type="dxa"/>
              <w:left w:w="0" w:type="dxa"/>
              <w:bottom w:w="43" w:type="dxa"/>
              <w:right w:w="0" w:type="dxa"/>
            </w:tcMar>
          </w:tcPr>
          <w:p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rsidTr="00406CFF">
        <w:trPr>
          <w:trHeight w:val="658"/>
        </w:trPr>
        <w:tc>
          <w:tcPr>
            <w:tcW w:w="8838" w:type="dxa"/>
            <w:gridSpan w:val="5"/>
            <w:tcMar>
              <w:top w:w="43" w:type="dxa"/>
              <w:left w:w="0" w:type="dxa"/>
              <w:bottom w:w="43" w:type="dxa"/>
              <w:right w:w="0" w:type="dxa"/>
            </w:tcMar>
          </w:tcPr>
          <w:p w:rsidR="00406CFF" w:rsidRPr="00704574" w:rsidRDefault="00406CFF" w:rsidP="00FF4F4F"/>
        </w:tc>
      </w:tr>
    </w:tbl>
    <w:p w:rsidR="0025429E" w:rsidRDefault="0025429E" w:rsidP="00E814B8"/>
    <w:p w:rsidR="0025429E" w:rsidRDefault="0025429E" w:rsidP="00E814B8"/>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30" w:rsidRDefault="003C2B30" w:rsidP="00BD1E89">
      <w:pPr>
        <w:spacing w:line="240" w:lineRule="auto"/>
      </w:pPr>
      <w:r>
        <w:separator/>
      </w:r>
    </w:p>
  </w:endnote>
  <w:endnote w:type="continuationSeparator" w:id="0">
    <w:p w:rsidR="003C2B30" w:rsidRDefault="003C2B3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30" w:rsidRDefault="003C2B30" w:rsidP="00BD1E89">
      <w:pPr>
        <w:spacing w:line="240" w:lineRule="auto"/>
      </w:pPr>
      <w:r>
        <w:separator/>
      </w:r>
    </w:p>
  </w:footnote>
  <w:footnote w:type="continuationSeparator" w:id="0">
    <w:p w:rsidR="003C2B30" w:rsidRDefault="003C2B3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4F" w:rsidRPr="00981460" w:rsidRDefault="002826E4" w:rsidP="00981460">
    <w:pPr>
      <w:pStyle w:val="Title"/>
      <w:jc w:val="right"/>
      <w:rPr>
        <w:sz w:val="24"/>
        <w:szCs w:val="24"/>
      </w:rPr>
    </w:pPr>
    <w:r>
      <w:rPr>
        <w:sz w:val="24"/>
        <w:szCs w:val="24"/>
      </w:rPr>
      <w:t>Subcontractor</w:t>
    </w:r>
    <w:r w:rsidR="00FF4F4F" w:rsidRPr="00981460">
      <w:rPr>
        <w:sz w:val="24"/>
        <w:szCs w:val="24"/>
      </w:rPr>
      <w:t xml:space="preserve"> </w:t>
    </w:r>
    <w:r w:rsidR="00FF4F4F">
      <w:rPr>
        <w:sz w:val="24"/>
        <w:szCs w:val="24"/>
      </w:rPr>
      <w:t xml:space="preserve">Final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8D2F83"/>
    <w:multiLevelType w:val="hybridMultilevel"/>
    <w:tmpl w:val="520AD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5"/>
  </w:num>
  <w:num w:numId="4">
    <w:abstractNumId w:val="6"/>
  </w:num>
  <w:num w:numId="5">
    <w:abstractNumId w:val="24"/>
  </w:num>
  <w:num w:numId="6">
    <w:abstractNumId w:val="14"/>
  </w:num>
  <w:num w:numId="7">
    <w:abstractNumId w:val="9"/>
  </w:num>
  <w:num w:numId="8">
    <w:abstractNumId w:val="27"/>
  </w:num>
  <w:num w:numId="9">
    <w:abstractNumId w:val="10"/>
  </w:num>
  <w:num w:numId="10">
    <w:abstractNumId w:val="13"/>
  </w:num>
  <w:num w:numId="11">
    <w:abstractNumId w:val="15"/>
  </w:num>
  <w:num w:numId="12">
    <w:abstractNumId w:val="24"/>
  </w:num>
  <w:num w:numId="13">
    <w:abstractNumId w:val="20"/>
  </w:num>
  <w:num w:numId="14">
    <w:abstractNumId w:val="7"/>
  </w:num>
  <w:num w:numId="15">
    <w:abstractNumId w:val="29"/>
  </w:num>
  <w:num w:numId="16">
    <w:abstractNumId w:val="19"/>
  </w:num>
  <w:num w:numId="17">
    <w:abstractNumId w:val="3"/>
  </w:num>
  <w:num w:numId="18">
    <w:abstractNumId w:val="18"/>
  </w:num>
  <w:num w:numId="19">
    <w:abstractNumId w:val="8"/>
  </w:num>
  <w:num w:numId="20">
    <w:abstractNumId w:val="28"/>
  </w:num>
  <w:num w:numId="21">
    <w:abstractNumId w:val="11"/>
  </w:num>
  <w:num w:numId="22">
    <w:abstractNumId w:val="16"/>
  </w:num>
  <w:num w:numId="23">
    <w:abstractNumId w:val="26"/>
  </w:num>
  <w:num w:numId="24">
    <w:abstractNumId w:val="14"/>
  </w:num>
  <w:num w:numId="25">
    <w:abstractNumId w:val="24"/>
  </w:num>
  <w:num w:numId="26">
    <w:abstractNumId w:val="24"/>
  </w:num>
  <w:num w:numId="27">
    <w:abstractNumId w:val="24"/>
  </w:num>
  <w:num w:numId="28">
    <w:abstractNumId w:val="24"/>
  </w:num>
  <w:num w:numId="29">
    <w:abstractNumId w:val="14"/>
  </w:num>
  <w:num w:numId="30">
    <w:abstractNumId w:val="14"/>
  </w:num>
  <w:num w:numId="31">
    <w:abstractNumId w:val="14"/>
  </w:num>
  <w:num w:numId="32">
    <w:abstractNumId w:val="14"/>
  </w:num>
  <w:num w:numId="33">
    <w:abstractNumId w:val="14"/>
  </w:num>
  <w:num w:numId="34">
    <w:abstractNumId w:val="24"/>
  </w:num>
  <w:num w:numId="35">
    <w:abstractNumId w:val="24"/>
  </w:num>
  <w:num w:numId="36">
    <w:abstractNumId w:val="31"/>
  </w:num>
  <w:num w:numId="37">
    <w:abstractNumId w:val="1"/>
  </w:num>
  <w:num w:numId="38">
    <w:abstractNumId w:val="0"/>
  </w:num>
  <w:num w:numId="39">
    <w:abstractNumId w:val="30"/>
  </w:num>
  <w:num w:numId="40">
    <w:abstractNumId w:val="12"/>
  </w:num>
  <w:num w:numId="41">
    <w:abstractNumId w:val="17"/>
  </w:num>
  <w:num w:numId="42">
    <w:abstractNumId w:val="23"/>
  </w:num>
  <w:num w:numId="43">
    <w:abstractNumId w:val="4"/>
  </w:num>
  <w:num w:numId="44">
    <w:abstractNumId w:val="2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0EC4"/>
    <w:rsid w:val="00184DBB"/>
    <w:rsid w:val="001943BF"/>
    <w:rsid w:val="001A6320"/>
    <w:rsid w:val="001B5C81"/>
    <w:rsid w:val="001C34A3"/>
    <w:rsid w:val="001C4C57"/>
    <w:rsid w:val="001E2F8F"/>
    <w:rsid w:val="00203599"/>
    <w:rsid w:val="002044CF"/>
    <w:rsid w:val="002148E3"/>
    <w:rsid w:val="00227538"/>
    <w:rsid w:val="00234746"/>
    <w:rsid w:val="002367F2"/>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C2B30"/>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6FC9"/>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2600E"/>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67D8F"/>
    <w:rsid w:val="00D704E3"/>
    <w:rsid w:val="00D7730F"/>
    <w:rsid w:val="00D83274"/>
    <w:rsid w:val="00D84185"/>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26300-B48D-4415-BAB3-9610438E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managementnetwor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83E6-24F8-4081-90C0-2CF9751A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Mainer, Caron</cp:lastModifiedBy>
  <cp:revision>2</cp:revision>
  <cp:lastPrinted>2015-12-03T22:07:00Z</cp:lastPrinted>
  <dcterms:created xsi:type="dcterms:W3CDTF">2017-08-25T20:54:00Z</dcterms:created>
  <dcterms:modified xsi:type="dcterms:W3CDTF">2017-08-25T20:54:00Z</dcterms:modified>
</cp:coreProperties>
</file>