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FE" w:rsidRPr="004860DE" w:rsidRDefault="00D058FE" w:rsidP="00E74BD4">
      <w:pPr>
        <w:jc w:val="center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Utilizing soybean maturity class and planting date evaluation to improve soybean production in West and Central ND</w:t>
      </w:r>
      <w:r w:rsidR="002D7873">
        <w:rPr>
          <w:rFonts w:eastAsia="Times New Roman"/>
          <w:color w:val="000000"/>
        </w:rPr>
        <w:t>.</w:t>
      </w:r>
    </w:p>
    <w:p w:rsidR="00D058FE" w:rsidRPr="004860DE" w:rsidRDefault="00D058FE" w:rsidP="00D058FE">
      <w:pPr>
        <w:rPr>
          <w:rFonts w:eastAsia="Times New Roman"/>
          <w:color w:val="000000"/>
        </w:rPr>
      </w:pPr>
    </w:p>
    <w:p w:rsidR="002D7873" w:rsidRDefault="00E64B0D" w:rsidP="00B6062B">
      <w:r>
        <w:rPr>
          <w:rFonts w:eastAsia="Times New Roman"/>
          <w:color w:val="000000"/>
        </w:rPr>
        <w:t>Jasper M Teboh</w:t>
      </w:r>
      <w:r w:rsidR="00B80BE2" w:rsidRPr="00B80BE2"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,</w:t>
      </w:r>
      <w:r w:rsidR="00D058FE" w:rsidRPr="004860DE">
        <w:rPr>
          <w:rFonts w:eastAsia="Times New Roman"/>
          <w:color w:val="000000"/>
        </w:rPr>
        <w:t xml:space="preserve"> </w:t>
      </w:r>
      <w:r w:rsidR="00D058FE">
        <w:t>John Rickertsen</w:t>
      </w:r>
      <w:r w:rsidR="00B80BE2" w:rsidRPr="00B80BE2">
        <w:rPr>
          <w:vertAlign w:val="superscript"/>
        </w:rPr>
        <w:t>2</w:t>
      </w:r>
      <w:r w:rsidR="002D7873">
        <w:t>, Szilvia Zilahi-Sebess</w:t>
      </w:r>
      <w:r w:rsidR="00B80BE2" w:rsidRPr="00B80BE2">
        <w:rPr>
          <w:vertAlign w:val="superscript"/>
        </w:rPr>
        <w:t>1</w:t>
      </w:r>
      <w:r w:rsidR="002D7873">
        <w:t>.</w:t>
      </w:r>
    </w:p>
    <w:p w:rsidR="00B80BE2" w:rsidRPr="00B80BE2" w:rsidRDefault="00B80BE2" w:rsidP="00B6062B">
      <w:r>
        <w:rPr>
          <w:vertAlign w:val="superscript"/>
        </w:rPr>
        <w:t>1</w:t>
      </w:r>
      <w:r w:rsidRPr="00B80BE2">
        <w:t xml:space="preserve">NDSU </w:t>
      </w:r>
      <w:r>
        <w:t xml:space="preserve">Carrington Research Extension Center, </w:t>
      </w:r>
      <w:r>
        <w:rPr>
          <w:vertAlign w:val="superscript"/>
        </w:rPr>
        <w:t>2</w:t>
      </w:r>
      <w:r w:rsidRPr="00B80BE2">
        <w:t>Hettinger Research Extension Center</w:t>
      </w:r>
    </w:p>
    <w:p w:rsidR="00BB0076" w:rsidRDefault="00BB0076" w:rsidP="00BB0076"/>
    <w:p w:rsidR="00BB0076" w:rsidRDefault="00BB0076" w:rsidP="00BB0076">
      <w:pPr>
        <w:rPr>
          <w:b/>
        </w:rPr>
      </w:pPr>
      <w:r w:rsidRPr="00BB0076">
        <w:rPr>
          <w:b/>
        </w:rPr>
        <w:t xml:space="preserve">Situation Statement: </w:t>
      </w:r>
    </w:p>
    <w:p w:rsidR="00463E43" w:rsidRDefault="00BB0076" w:rsidP="004343CD">
      <w:pPr>
        <w:autoSpaceDE w:val="0"/>
        <w:autoSpaceDN w:val="0"/>
        <w:adjustRightInd w:val="0"/>
      </w:pPr>
      <w:r>
        <w:t>Soybean production in North Dakota (ND) has steadily grown with a record</w:t>
      </w:r>
      <w:r w:rsidR="00E66D7A">
        <w:t xml:space="preserve"> 6 million acres planted in 2014</w:t>
      </w:r>
      <w:r>
        <w:t>. While most of this growth has taken place in the Eastern part of the state,</w:t>
      </w:r>
      <w:r w:rsidR="00E66D7A">
        <w:t xml:space="preserve"> there is growing</w:t>
      </w:r>
      <w:r>
        <w:t xml:space="preserve"> </w:t>
      </w:r>
      <w:r w:rsidR="00E66D7A">
        <w:t xml:space="preserve">interest </w:t>
      </w:r>
      <w:r w:rsidR="00782FA5">
        <w:t xml:space="preserve">from </w:t>
      </w:r>
      <w:r>
        <w:t xml:space="preserve">producers and stakeholders </w:t>
      </w:r>
      <w:r w:rsidR="00782FA5">
        <w:t>to expand</w:t>
      </w:r>
      <w:r>
        <w:t xml:space="preserve"> soybean production and productivity beyond Central ND, to</w:t>
      </w:r>
      <w:r w:rsidR="00E66D7A">
        <w:t>wards</w:t>
      </w:r>
      <w:r>
        <w:t xml:space="preserve"> non-traditional production areas, west of the Missouri River.</w:t>
      </w:r>
      <w:r w:rsidR="00AA170C">
        <w:t xml:space="preserve"> Soybean production would give producers in western ND another crop to diversify their rotations and another option for a later planted crop when inadvertent situations </w:t>
      </w:r>
      <w:r w:rsidR="00E66D7A">
        <w:t>prohibit</w:t>
      </w:r>
      <w:r w:rsidR="00AA170C">
        <w:t xml:space="preserve"> timely plan</w:t>
      </w:r>
      <w:r w:rsidR="00E66D7A">
        <w:t>t</w:t>
      </w:r>
      <w:r w:rsidR="00AA170C">
        <w:t>ing of small grains or other early season crops.</w:t>
      </w:r>
      <w:r>
        <w:t xml:space="preserve"> </w:t>
      </w:r>
      <w:r w:rsidR="00782FA5">
        <w:t>A serious limitation to soybean production, West of the Missouri, is very d</w:t>
      </w:r>
      <w:r>
        <w:t>ry summers with low available moisture at critical growth stages, and short growing cycle</w:t>
      </w:r>
      <w:r w:rsidR="00782FA5">
        <w:t>.</w:t>
      </w:r>
      <w:r>
        <w:t xml:space="preserve"> </w:t>
      </w:r>
      <w:r w:rsidR="00782FA5">
        <w:t xml:space="preserve">Soybeans flower in response to length of day and temperature. The earlier maturing </w:t>
      </w:r>
      <w:r w:rsidR="00E66D7A">
        <w:t>cultivar</w:t>
      </w:r>
      <w:r w:rsidR="00782FA5">
        <w:t>s begin flowering when days are long and nights are short (in summer)</w:t>
      </w:r>
      <w:r w:rsidR="00E66D7A">
        <w:t>, and the later maturing cultivar</w:t>
      </w:r>
      <w:r w:rsidR="00782FA5">
        <w:t xml:space="preserve">s flower when days are relatively shorter and nights relatively longer. </w:t>
      </w:r>
      <w:r w:rsidR="004343CD" w:rsidRPr="004343CD">
        <w:rPr>
          <w:color w:val="231F20"/>
        </w:rPr>
        <w:t>Maturity is the first</w:t>
      </w:r>
      <w:r w:rsidR="004343CD">
        <w:rPr>
          <w:color w:val="231F20"/>
        </w:rPr>
        <w:t xml:space="preserve"> important</w:t>
      </w:r>
      <w:r w:rsidR="004343CD" w:rsidRPr="004343CD">
        <w:rPr>
          <w:color w:val="231F20"/>
        </w:rPr>
        <w:t xml:space="preserve"> consideration </w:t>
      </w:r>
      <w:r w:rsidR="004343CD">
        <w:rPr>
          <w:color w:val="231F20"/>
        </w:rPr>
        <w:t>for</w:t>
      </w:r>
      <w:r w:rsidR="004343CD" w:rsidRPr="004343CD">
        <w:rPr>
          <w:color w:val="231F20"/>
        </w:rPr>
        <w:t xml:space="preserve"> choosing a</w:t>
      </w:r>
      <w:r w:rsidR="004343CD">
        <w:rPr>
          <w:color w:val="231F20"/>
        </w:rPr>
        <w:t xml:space="preserve"> cultivar</w:t>
      </w:r>
      <w:r w:rsidR="004343CD" w:rsidRPr="004343CD">
        <w:rPr>
          <w:color w:val="231F20"/>
        </w:rPr>
        <w:t xml:space="preserve"> </w:t>
      </w:r>
      <w:r w:rsidR="004343CD">
        <w:rPr>
          <w:color w:val="231F20"/>
        </w:rPr>
        <w:t xml:space="preserve">that is suitable </w:t>
      </w:r>
      <w:r w:rsidR="004343CD" w:rsidRPr="004343CD">
        <w:rPr>
          <w:color w:val="231F20"/>
        </w:rPr>
        <w:t xml:space="preserve">to </w:t>
      </w:r>
      <w:r w:rsidR="004343CD">
        <w:rPr>
          <w:color w:val="231F20"/>
        </w:rPr>
        <w:t>a given geographical locat</w:t>
      </w:r>
      <w:r w:rsidR="004343CD" w:rsidRPr="004343CD">
        <w:rPr>
          <w:color w:val="231F20"/>
        </w:rPr>
        <w:t>ion</w:t>
      </w:r>
      <w:r w:rsidR="004343CD">
        <w:rPr>
          <w:color w:val="231F20"/>
        </w:rPr>
        <w:t>.</w:t>
      </w:r>
      <w:r w:rsidR="004343CD" w:rsidRPr="004343CD">
        <w:t xml:space="preserve"> </w:t>
      </w:r>
      <w:r w:rsidR="00463E43" w:rsidRPr="004343CD">
        <w:t>Some of</w:t>
      </w:r>
      <w:r w:rsidR="00463E43">
        <w:t xml:space="preserve"> the cultivars farmers grow are sometimes not suitable to </w:t>
      </w:r>
      <w:r w:rsidR="00E66D7A">
        <w:t>drought western</w:t>
      </w:r>
      <w:r w:rsidR="00463E43">
        <w:t xml:space="preserve"> region</w:t>
      </w:r>
      <w:r w:rsidR="00E66D7A">
        <w:t>s</w:t>
      </w:r>
      <w:r w:rsidR="00F65BFF">
        <w:t>;</w:t>
      </w:r>
      <w:r w:rsidR="00463E43">
        <w:t xml:space="preserve"> as a </w:t>
      </w:r>
      <w:r w:rsidR="00F65BFF">
        <w:t>result,</w:t>
      </w:r>
      <w:r w:rsidR="00E66D7A">
        <w:t xml:space="preserve"> a few producers have experienced setbacks from </w:t>
      </w:r>
      <w:r w:rsidR="00463E43">
        <w:t>low yield</w:t>
      </w:r>
      <w:r w:rsidR="00E66D7A">
        <w:t>s</w:t>
      </w:r>
      <w:r w:rsidR="004343CD">
        <w:t>,</w:t>
      </w:r>
      <w:r w:rsidR="00F65BFF">
        <w:t xml:space="preserve"> thereby retarding expansion of</w:t>
      </w:r>
      <w:r w:rsidR="00463E43">
        <w:t xml:space="preserve"> soybean production</w:t>
      </w:r>
      <w:r w:rsidR="00F65BFF">
        <w:t xml:space="preserve"> </w:t>
      </w:r>
      <w:r w:rsidR="00E66D7A">
        <w:t>in these areas</w:t>
      </w:r>
      <w:r w:rsidR="00F65BFF">
        <w:t>.</w:t>
      </w:r>
    </w:p>
    <w:p w:rsidR="00BB0076" w:rsidRPr="00BB0076" w:rsidRDefault="00BB0076" w:rsidP="00463E43">
      <w:pPr>
        <w:rPr>
          <w:b/>
        </w:rPr>
      </w:pPr>
      <w:r>
        <w:t xml:space="preserve">There has </w:t>
      </w:r>
      <w:r w:rsidR="00E66D7A">
        <w:t xml:space="preserve">not </w:t>
      </w:r>
      <w:r>
        <w:t xml:space="preserve">been </w:t>
      </w:r>
      <w:r w:rsidR="00E66D7A">
        <w:t xml:space="preserve">recent and consistent research </w:t>
      </w:r>
      <w:r>
        <w:t>done to assess the performance of soybeans in western ND</w:t>
      </w:r>
      <w:r w:rsidR="00076F0E">
        <w:t>. There is</w:t>
      </w:r>
      <w:r>
        <w:t xml:space="preserve"> a great need for information on the </w:t>
      </w:r>
      <w:r w:rsidR="00076F0E">
        <w:t xml:space="preserve">impact that </w:t>
      </w:r>
      <w:r w:rsidR="00DE453E">
        <w:t xml:space="preserve">relative </w:t>
      </w:r>
      <w:r>
        <w:t>maturity groups (MG</w:t>
      </w:r>
      <w:r w:rsidR="005C2C96">
        <w:t>s</w:t>
      </w:r>
      <w:r>
        <w:t xml:space="preserve">) </w:t>
      </w:r>
      <w:r w:rsidR="00076F0E">
        <w:t>would have on soybean yields, and how planting dates would impact MG performance.</w:t>
      </w:r>
      <w:r>
        <w:t xml:space="preserve"> </w:t>
      </w:r>
      <w:r w:rsidR="00076F0E">
        <w:t>This research was carried out</w:t>
      </w:r>
      <w:r>
        <w:t xml:space="preserve"> to assess the per</w:t>
      </w:r>
      <w:r w:rsidR="00076F0E">
        <w:t>formance of soybeans in Hettinger in Western ND, and Carrington, East</w:t>
      </w:r>
      <w:r w:rsidR="00C128E8">
        <w:t>ern</w:t>
      </w:r>
      <w:r w:rsidR="00076F0E">
        <w:t xml:space="preserve"> ND, and then </w:t>
      </w:r>
      <w:r>
        <w:t>a</w:t>
      </w:r>
      <w:r w:rsidR="00076F0E">
        <w:t>sses</w:t>
      </w:r>
      <w:r>
        <w:t xml:space="preserve">s its profitability in light of improved </w:t>
      </w:r>
      <w:r w:rsidR="00076F0E">
        <w:t>no-till practices in Hettinger, to minimize</w:t>
      </w:r>
      <w:r>
        <w:t xml:space="preserve"> adverse climatic effects of drought stress</w:t>
      </w:r>
      <w:r w:rsidR="00076F0E">
        <w:t>.</w:t>
      </w:r>
    </w:p>
    <w:p w:rsidR="00BB0076" w:rsidRDefault="00BB0076" w:rsidP="00BB0076">
      <w:pPr>
        <w:rPr>
          <w:b/>
        </w:rPr>
      </w:pPr>
    </w:p>
    <w:p w:rsidR="00BB0076" w:rsidRDefault="00BB0076" w:rsidP="00BB0076">
      <w:r w:rsidRPr="002D7873">
        <w:rPr>
          <w:b/>
        </w:rPr>
        <w:t>Goal</w:t>
      </w:r>
      <w:r>
        <w:t xml:space="preserve">: </w:t>
      </w:r>
    </w:p>
    <w:p w:rsidR="00BB0076" w:rsidRDefault="00BB0076" w:rsidP="00BB0076">
      <w:r>
        <w:t>To increase soybean production and productivity from current levels in Western and Central North Dakota</w:t>
      </w:r>
    </w:p>
    <w:p w:rsidR="002D7873" w:rsidRDefault="002D7873" w:rsidP="00B6062B"/>
    <w:p w:rsidR="00D058FE" w:rsidRDefault="00D058FE" w:rsidP="00D058FE">
      <w:pPr>
        <w:rPr>
          <w:rFonts w:eastAsia="Times New Roman"/>
          <w:b/>
          <w:color w:val="000000"/>
        </w:rPr>
      </w:pPr>
      <w:r w:rsidRPr="004860DE">
        <w:rPr>
          <w:rFonts w:eastAsia="Times New Roman"/>
          <w:b/>
          <w:color w:val="000000"/>
        </w:rPr>
        <w:t>Research Objectives</w:t>
      </w:r>
    </w:p>
    <w:p w:rsidR="00D058FE" w:rsidRPr="007D1021" w:rsidRDefault="003E1D15" w:rsidP="00D058FE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Assess and determine optimum yielding maturity </w:t>
      </w:r>
      <w:r w:rsidR="0022172A">
        <w:rPr>
          <w:rFonts w:eastAsia="Times New Roman"/>
          <w:color w:val="000000"/>
        </w:rPr>
        <w:t>classes</w:t>
      </w:r>
      <w:r w:rsidR="009316E1">
        <w:rPr>
          <w:rFonts w:eastAsia="Times New Roman"/>
          <w:color w:val="000000"/>
        </w:rPr>
        <w:t>/groups</w:t>
      </w:r>
      <w:r w:rsidR="0022172A">
        <w:rPr>
          <w:rFonts w:eastAsia="Times New Roman"/>
          <w:color w:val="000000"/>
        </w:rPr>
        <w:t xml:space="preserve"> of soybeans for</w:t>
      </w:r>
      <w:r w:rsidR="00D058FE">
        <w:rPr>
          <w:rFonts w:eastAsia="Times New Roman"/>
          <w:color w:val="000000"/>
        </w:rPr>
        <w:t xml:space="preserve"> dryland</w:t>
      </w:r>
      <w:r w:rsidR="00D058FE" w:rsidRPr="007D102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produc</w:t>
      </w:r>
      <w:r w:rsidR="00D058FE" w:rsidRPr="007D1021">
        <w:rPr>
          <w:rFonts w:eastAsia="Times New Roman"/>
          <w:color w:val="000000"/>
        </w:rPr>
        <w:t xml:space="preserve">tion in Western </w:t>
      </w:r>
      <w:r w:rsidR="00D058FE">
        <w:rPr>
          <w:rFonts w:eastAsia="Times New Roman"/>
          <w:color w:val="000000"/>
        </w:rPr>
        <w:t xml:space="preserve">and Central </w:t>
      </w:r>
      <w:r w:rsidR="00D058FE" w:rsidRPr="007D1021">
        <w:rPr>
          <w:rFonts w:eastAsia="Times New Roman"/>
          <w:color w:val="000000"/>
        </w:rPr>
        <w:t>N</w:t>
      </w:r>
      <w:r w:rsidR="002D7873">
        <w:rPr>
          <w:rFonts w:eastAsia="Times New Roman"/>
          <w:color w:val="000000"/>
        </w:rPr>
        <w:t>D</w:t>
      </w:r>
    </w:p>
    <w:p w:rsidR="00D058FE" w:rsidRPr="007D1021" w:rsidRDefault="0022172A" w:rsidP="00D058FE">
      <w:pPr>
        <w:pStyle w:val="ListParagraph"/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Determine the impact of early and late planting on yields of</w:t>
      </w:r>
      <w:r w:rsidR="001E7D5E">
        <w:rPr>
          <w:rFonts w:eastAsia="Times New Roman"/>
          <w:color w:val="000000"/>
        </w:rPr>
        <w:t xml:space="preserve"> early </w:t>
      </w:r>
      <w:r>
        <w:rPr>
          <w:rFonts w:eastAsia="Times New Roman"/>
          <w:color w:val="000000"/>
        </w:rPr>
        <w:t>and late maturing</w:t>
      </w:r>
      <w:r w:rsidR="00BE03A1">
        <w:rPr>
          <w:rFonts w:eastAsia="Times New Roman"/>
          <w:color w:val="000000"/>
        </w:rPr>
        <w:t xml:space="preserve"> soybean</w:t>
      </w:r>
      <w:r>
        <w:rPr>
          <w:rFonts w:eastAsia="Times New Roman"/>
          <w:color w:val="000000"/>
        </w:rPr>
        <w:t xml:space="preserve"> </w:t>
      </w:r>
      <w:r w:rsidR="00D058FE">
        <w:rPr>
          <w:rFonts w:eastAsia="Times New Roman"/>
          <w:color w:val="000000"/>
        </w:rPr>
        <w:t xml:space="preserve"> </w:t>
      </w:r>
    </w:p>
    <w:p w:rsidR="00D058FE" w:rsidRDefault="00D058FE" w:rsidP="00D058FE">
      <w:pPr>
        <w:jc w:val="both"/>
        <w:rPr>
          <w:rFonts w:eastAsia="Times New Roman"/>
          <w:b/>
        </w:rPr>
      </w:pPr>
    </w:p>
    <w:p w:rsidR="00FA428D" w:rsidRDefault="00FA428D" w:rsidP="00FA428D">
      <w:pPr>
        <w:jc w:val="both"/>
        <w:rPr>
          <w:rFonts w:eastAsia="Times New Roman"/>
          <w:b/>
          <w:color w:val="000000"/>
        </w:rPr>
      </w:pPr>
      <w:r w:rsidRPr="004860DE">
        <w:rPr>
          <w:rFonts w:eastAsia="Times New Roman"/>
          <w:b/>
          <w:color w:val="000000"/>
        </w:rPr>
        <w:t xml:space="preserve">Description of the research </w:t>
      </w:r>
      <w:r w:rsidR="00BB0076">
        <w:rPr>
          <w:rFonts w:eastAsia="Times New Roman"/>
          <w:b/>
          <w:color w:val="000000"/>
        </w:rPr>
        <w:t>conduct</w:t>
      </w:r>
      <w:r w:rsidRPr="004860DE">
        <w:rPr>
          <w:rFonts w:eastAsia="Times New Roman"/>
          <w:b/>
          <w:color w:val="000000"/>
        </w:rPr>
        <w:t>ed</w:t>
      </w:r>
    </w:p>
    <w:p w:rsidR="00043BD8" w:rsidRDefault="00C128E8" w:rsidP="0067402B">
      <w:pPr>
        <w:autoSpaceDE w:val="0"/>
        <w:autoSpaceDN w:val="0"/>
        <w:adjustRightInd w:val="0"/>
      </w:pPr>
      <w:r>
        <w:t xml:space="preserve">Three </w:t>
      </w:r>
      <w:r w:rsidR="00D00013">
        <w:t xml:space="preserve">sites </w:t>
      </w:r>
      <w:r>
        <w:t xml:space="preserve">were </w:t>
      </w:r>
      <w:r w:rsidR="00D00013">
        <w:t xml:space="preserve">chosen for this study </w:t>
      </w:r>
      <w:r w:rsidR="00C75819">
        <w:t>based on geographical location and extent of soybean production from re</w:t>
      </w:r>
      <w:r>
        <w:t xml:space="preserve">latively low to high production, at the </w:t>
      </w:r>
      <w:r w:rsidR="00D00013">
        <w:t>Hettinger Research Extension Center (HREC), located in South Western ND, Mandan (Central ND), and Carrington Research Extension Center (CREC)</w:t>
      </w:r>
      <w:r>
        <w:t>.</w:t>
      </w:r>
      <w:r w:rsidR="00D00013">
        <w:t xml:space="preserve"> </w:t>
      </w:r>
      <w:r w:rsidR="00A008BF">
        <w:t xml:space="preserve">Planting was effective at </w:t>
      </w:r>
      <w:r>
        <w:t xml:space="preserve">the third site, </w:t>
      </w:r>
      <w:r w:rsidR="00A008BF">
        <w:t xml:space="preserve">Mandan, but </w:t>
      </w:r>
      <w:r>
        <w:t>the crop was</w:t>
      </w:r>
      <w:r w:rsidR="00A008BF">
        <w:t xml:space="preserve"> later destroyed by deer. </w:t>
      </w:r>
      <w:r w:rsidR="00CF64D6">
        <w:t xml:space="preserve">The three </w:t>
      </w:r>
      <w:r w:rsidR="00DE453E">
        <w:t>MGs</w:t>
      </w:r>
      <w:r w:rsidR="00CF64D6">
        <w:t xml:space="preserve"> (</w:t>
      </w:r>
      <w:r w:rsidR="0041272F">
        <w:t>cultivars</w:t>
      </w:r>
      <w:r w:rsidR="00CF64D6">
        <w:t xml:space="preserve">) planted at HREC </w:t>
      </w:r>
      <w:r>
        <w:t xml:space="preserve">(shown on table 1), </w:t>
      </w:r>
      <w:r w:rsidR="00CF64D6">
        <w:t>were also planted at CREC</w:t>
      </w:r>
      <w:r w:rsidR="00DE453E">
        <w:t xml:space="preserve"> plus an additional cultivar. P</w:t>
      </w:r>
      <w:r w:rsidR="00CF64D6">
        <w:t>lanting date intervals differed by site (Table 1)</w:t>
      </w:r>
      <w:r w:rsidR="00DE453E">
        <w:t xml:space="preserve">. </w:t>
      </w:r>
      <w:r w:rsidR="00CF64D6">
        <w:t xml:space="preserve">Each planting date was about 7 or </w:t>
      </w:r>
      <w:r w:rsidR="00DE453E">
        <w:t xml:space="preserve">8 </w:t>
      </w:r>
      <w:r w:rsidR="00CF64D6">
        <w:t>days</w:t>
      </w:r>
      <w:r w:rsidR="007C4361">
        <w:t xml:space="preserve"> from the previous date</w:t>
      </w:r>
      <w:r w:rsidR="00CF64D6">
        <w:t xml:space="preserve"> at Hettinger, and 12 to 15 days</w:t>
      </w:r>
      <w:r w:rsidR="00C16392">
        <w:t xml:space="preserve"> </w:t>
      </w:r>
      <w:r w:rsidR="00C16392">
        <w:lastRenderedPageBreak/>
        <w:t>at C</w:t>
      </w:r>
      <w:r w:rsidR="00CF64D6">
        <w:t>REC</w:t>
      </w:r>
      <w:r w:rsidR="00C16392">
        <w:t xml:space="preserve">. </w:t>
      </w:r>
      <w:r w:rsidR="007342D7">
        <w:t xml:space="preserve">The two Proseed </w:t>
      </w:r>
      <w:r w:rsidR="00A008BF">
        <w:t>cultivars</w:t>
      </w:r>
      <w:r w:rsidR="007342D7">
        <w:t xml:space="preserve"> </w:t>
      </w:r>
      <w:r w:rsidR="00A008BF">
        <w:t>(MG 0.2 and 0.6) we</w:t>
      </w:r>
      <w:r w:rsidR="007342D7">
        <w:t xml:space="preserve">re </w:t>
      </w:r>
      <w:r w:rsidR="00D1296F">
        <w:t>Roundup</w:t>
      </w:r>
      <w:r w:rsidR="007342D7">
        <w:t xml:space="preserve"> Ready </w:t>
      </w:r>
      <w:r w:rsidR="00A008BF">
        <w:t>soybeans</w:t>
      </w:r>
      <w:r w:rsidR="007342D7">
        <w:t xml:space="preserve">, while the other two </w:t>
      </w:r>
      <w:r w:rsidR="00A008BF">
        <w:t>(MG 0.4, 0.7) we</w:t>
      </w:r>
      <w:r w:rsidR="007342D7">
        <w:t>re conventional</w:t>
      </w:r>
      <w:r w:rsidR="00B81422">
        <w:t xml:space="preserve"> soybean cultivars.</w:t>
      </w:r>
      <w:r w:rsidR="002B262F">
        <w:t xml:space="preserve"> </w:t>
      </w:r>
    </w:p>
    <w:p w:rsidR="00043BD8" w:rsidRDefault="007342D7" w:rsidP="0067402B">
      <w:pPr>
        <w:autoSpaceDE w:val="0"/>
        <w:autoSpaceDN w:val="0"/>
        <w:adjustRightInd w:val="0"/>
      </w:pPr>
      <w:r>
        <w:t xml:space="preserve">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596"/>
        <w:gridCol w:w="1099"/>
        <w:gridCol w:w="990"/>
        <w:gridCol w:w="933"/>
        <w:gridCol w:w="900"/>
        <w:gridCol w:w="1080"/>
        <w:gridCol w:w="900"/>
        <w:gridCol w:w="720"/>
        <w:gridCol w:w="1047"/>
      </w:tblGrid>
      <w:tr w:rsidR="00043BD8" w:rsidRPr="00043BD8" w:rsidTr="006130E1">
        <w:trPr>
          <w:trHeight w:val="315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D8" w:rsidRPr="00043BD8" w:rsidRDefault="00463E43" w:rsidP="00463E43">
            <w:pPr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Table 1. </w:t>
            </w:r>
            <w:r w:rsidR="00043BD8">
              <w:rPr>
                <w:b/>
              </w:rPr>
              <w:t xml:space="preserve">Maturity </w:t>
            </w:r>
            <w:r>
              <w:rPr>
                <w:b/>
              </w:rPr>
              <w:t>g</w:t>
            </w:r>
            <w:r w:rsidR="00043BD8">
              <w:rPr>
                <w:b/>
              </w:rPr>
              <w:t>roup</w:t>
            </w:r>
            <w:r w:rsidR="00043BD8" w:rsidRPr="00043BD8">
              <w:rPr>
                <w:b/>
              </w:rPr>
              <w:t xml:space="preserve">s </w:t>
            </w:r>
            <w:r>
              <w:rPr>
                <w:b/>
              </w:rPr>
              <w:t xml:space="preserve">and dates </w:t>
            </w:r>
            <w:r w:rsidR="00043BD8">
              <w:rPr>
                <w:b/>
              </w:rPr>
              <w:t xml:space="preserve">planted </w:t>
            </w:r>
            <w:r>
              <w:rPr>
                <w:b/>
              </w:rPr>
              <w:t>within each location</w:t>
            </w:r>
          </w:p>
        </w:tc>
      </w:tr>
      <w:tr w:rsidR="006B78E0" w:rsidRPr="00043BD8" w:rsidTr="006B78E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E0" w:rsidRPr="00F02AEE" w:rsidRDefault="006B78E0" w:rsidP="00043BD8">
            <w:pPr>
              <w:rPr>
                <w:rFonts w:eastAsia="Times New Roman"/>
              </w:rPr>
            </w:pPr>
            <w:r w:rsidRPr="00F02AEE">
              <w:rPr>
                <w:rFonts w:eastAsia="Times New Roman"/>
                <w:bCs/>
              </w:rPr>
              <w:t>Cultivars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  <w:bCs/>
              </w:rPr>
            </w:pPr>
            <w:r w:rsidRPr="00F02AEE">
              <w:rPr>
                <w:rFonts w:eastAsia="Times New Roman"/>
                <w:bCs/>
              </w:rPr>
              <w:t>Hettinger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  <w:bCs/>
              </w:rPr>
            </w:pPr>
            <w:r w:rsidRPr="00F02AEE">
              <w:rPr>
                <w:rFonts w:eastAsia="Times New Roman"/>
                <w:bCs/>
              </w:rPr>
              <w:t>Carrington</w:t>
            </w:r>
          </w:p>
        </w:tc>
      </w:tr>
      <w:tr w:rsidR="006B78E0" w:rsidRPr="00043BD8" w:rsidTr="005A613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043BD8" w:rsidRDefault="006B78E0" w:rsidP="00043B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66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  <w:bCs/>
              </w:rPr>
            </w:pPr>
            <w:r w:rsidRPr="00F02AEE">
              <w:rPr>
                <w:rFonts w:eastAsia="Times New Roman"/>
                <w:bCs/>
              </w:rPr>
              <w:t>Planting dates</w:t>
            </w:r>
          </w:p>
        </w:tc>
      </w:tr>
      <w:tr w:rsidR="006B78E0" w:rsidRPr="00043BD8" w:rsidTr="005A613B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043BD8" w:rsidRDefault="006B78E0" w:rsidP="00043B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F02AEE" w:rsidRDefault="006B78E0" w:rsidP="008369D7">
            <w:pPr>
              <w:tabs>
                <w:tab w:val="left" w:pos="958"/>
              </w:tabs>
              <w:ind w:hanging="87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Too early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Early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F02AEE" w:rsidRDefault="006B78E0" w:rsidP="008369D7">
            <w:pPr>
              <w:ind w:left="-108" w:right="-105"/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Too early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Normal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8E0" w:rsidRPr="00043BD8" w:rsidRDefault="006B78E0" w:rsidP="006130E1">
            <w:pPr>
              <w:ind w:left="-137" w:right="-10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Very late</w:t>
            </w:r>
          </w:p>
        </w:tc>
      </w:tr>
      <w:tr w:rsidR="006B78E0" w:rsidRPr="00043BD8" w:rsidTr="006130E1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043BD8" w:rsidRDefault="006B78E0" w:rsidP="00043B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5-May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13-May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8369D7">
            <w:pPr>
              <w:ind w:left="-134" w:right="-92"/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19-May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8369D7">
            <w:pPr>
              <w:ind w:left="-105" w:right="-76"/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27-May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5-May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8369D7">
            <w:pPr>
              <w:ind w:right="-112" w:hanging="102"/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20-May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043BD8" w:rsidRDefault="006B78E0" w:rsidP="008369D7">
            <w:pPr>
              <w:ind w:right="-112" w:hanging="202"/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1-Jun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8E0" w:rsidRPr="00043BD8" w:rsidRDefault="006B78E0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16-Jun</w:t>
            </w:r>
          </w:p>
        </w:tc>
      </w:tr>
      <w:tr w:rsidR="006B78E0" w:rsidRPr="00043BD8" w:rsidTr="006130E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E0" w:rsidRPr="00043BD8" w:rsidRDefault="006B78E0" w:rsidP="00043BD8">
            <w:pPr>
              <w:rPr>
                <w:rFonts w:eastAsia="Times New Roman"/>
              </w:rPr>
            </w:pPr>
          </w:p>
        </w:tc>
        <w:tc>
          <w:tcPr>
            <w:tcW w:w="7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8E0" w:rsidRPr="00F02AEE" w:rsidRDefault="006B78E0" w:rsidP="00043BD8">
            <w:pPr>
              <w:jc w:val="center"/>
              <w:rPr>
                <w:rFonts w:eastAsia="Times New Roman"/>
                <w:bCs/>
              </w:rPr>
            </w:pPr>
            <w:r w:rsidRPr="00F02AEE">
              <w:rPr>
                <w:rFonts w:eastAsia="Times New Roman"/>
                <w:bCs/>
              </w:rPr>
              <w:t>Maturity Groups</w:t>
            </w:r>
          </w:p>
        </w:tc>
      </w:tr>
      <w:tr w:rsidR="008369D7" w:rsidRPr="00043BD8" w:rsidTr="006130E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Proseed 10-20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0.2</w:t>
            </w:r>
          </w:p>
        </w:tc>
      </w:tr>
      <w:tr w:rsidR="008369D7" w:rsidRPr="00043BD8" w:rsidTr="006130E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Ashtabula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F02AEE" w:rsidRDefault="00043BD8" w:rsidP="00043BD8">
            <w:pPr>
              <w:jc w:val="center"/>
              <w:rPr>
                <w:rFonts w:eastAsia="Times New Roman"/>
              </w:rPr>
            </w:pPr>
            <w:r w:rsidRPr="00F02AEE">
              <w:rPr>
                <w:rFonts w:eastAsia="Times New Roman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0.4</w:t>
            </w:r>
          </w:p>
        </w:tc>
      </w:tr>
      <w:tr w:rsidR="008369D7" w:rsidRPr="00043BD8" w:rsidTr="006130E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Proseed 30-60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0.6</w:t>
            </w:r>
          </w:p>
        </w:tc>
      </w:tr>
      <w:tr w:rsidR="008369D7" w:rsidRPr="00043BD8" w:rsidTr="006130E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Prosoy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BD8" w:rsidRPr="00043BD8" w:rsidRDefault="00043BD8" w:rsidP="00043BD8">
            <w:pPr>
              <w:jc w:val="center"/>
              <w:rPr>
                <w:rFonts w:eastAsia="Times New Roman"/>
              </w:rPr>
            </w:pPr>
            <w:r w:rsidRPr="00043BD8">
              <w:rPr>
                <w:rFonts w:eastAsia="Times New Roman"/>
              </w:rPr>
              <w:t>0.7</w:t>
            </w:r>
          </w:p>
        </w:tc>
      </w:tr>
    </w:tbl>
    <w:p w:rsidR="00043BD8" w:rsidRDefault="00043BD8" w:rsidP="0067402B">
      <w:pPr>
        <w:autoSpaceDE w:val="0"/>
        <w:autoSpaceDN w:val="0"/>
        <w:adjustRightInd w:val="0"/>
      </w:pPr>
    </w:p>
    <w:p w:rsidR="00043BD8" w:rsidRDefault="00043BD8" w:rsidP="0067402B">
      <w:pPr>
        <w:autoSpaceDE w:val="0"/>
        <w:autoSpaceDN w:val="0"/>
        <w:adjustRightInd w:val="0"/>
      </w:pPr>
    </w:p>
    <w:p w:rsidR="00323375" w:rsidRPr="009316E1" w:rsidRDefault="00557D53" w:rsidP="00D55682">
      <w:pPr>
        <w:autoSpaceDE w:val="0"/>
        <w:autoSpaceDN w:val="0"/>
        <w:adjustRightInd w:val="0"/>
      </w:pPr>
      <w:r w:rsidRPr="009316E1">
        <w:t>The experimental design was a Randomi</w:t>
      </w:r>
      <w:r w:rsidR="00B81422">
        <w:t>zed Complete Block with a split-</w:t>
      </w:r>
      <w:r w:rsidRPr="009316E1">
        <w:t xml:space="preserve">plot arrangement. </w:t>
      </w:r>
      <w:r w:rsidR="009316E1">
        <w:t xml:space="preserve">The main plots consisted of </w:t>
      </w:r>
      <w:r w:rsidRPr="009316E1">
        <w:t>three planting dates and subplots c</w:t>
      </w:r>
      <w:r w:rsidR="005C2C96">
        <w:t>onsisted of the maturity groups (MGs)</w:t>
      </w:r>
      <w:r w:rsidR="00B81422">
        <w:t>. Each subplot had four rows</w:t>
      </w:r>
      <w:r w:rsidR="00B4684C" w:rsidRPr="009316E1">
        <w:t xml:space="preserve"> 25ft</w:t>
      </w:r>
      <w:r w:rsidR="00B81422">
        <w:t xml:space="preserve"> long, with inter-row spacing at 22 inches</w:t>
      </w:r>
      <w:r w:rsidR="00B4684C" w:rsidRPr="009316E1">
        <w:t xml:space="preserve">. </w:t>
      </w:r>
      <w:r w:rsidR="002B262F" w:rsidRPr="009316E1">
        <w:t xml:space="preserve">Seeds were planted 1.25 </w:t>
      </w:r>
      <w:r w:rsidR="009316E1">
        <w:t>inches. All four rows were harvested from each plot</w:t>
      </w:r>
      <w:r w:rsidR="00B81422">
        <w:t xml:space="preserve"> at maturity</w:t>
      </w:r>
      <w:r w:rsidR="002B262F" w:rsidRPr="009316E1">
        <w:t xml:space="preserve">. </w:t>
      </w:r>
      <w:r w:rsidR="00B81422">
        <w:t>No fertilizer was added based on soil the recommendation at CREC. A</w:t>
      </w:r>
      <w:r w:rsidRPr="009316E1">
        <w:t>ll other inputs such as irrigation (</w:t>
      </w:r>
      <w:r w:rsidR="009316E1">
        <w:t xml:space="preserve">at </w:t>
      </w:r>
      <w:r w:rsidRPr="009316E1">
        <w:t>CREC), and pest control</w:t>
      </w:r>
      <w:r w:rsidR="009316E1">
        <w:t>,</w:t>
      </w:r>
      <w:r w:rsidRPr="009316E1">
        <w:t xml:space="preserve"> were managed as needed. </w:t>
      </w:r>
      <w:r w:rsidR="003C59E1">
        <w:t>S</w:t>
      </w:r>
      <w:r w:rsidR="00332872">
        <w:t>oybean plots were harvested</w:t>
      </w:r>
      <w:r w:rsidR="00B81422">
        <w:t xml:space="preserve"> with</w:t>
      </w:r>
      <w:r w:rsidR="00B81422" w:rsidRPr="009316E1">
        <w:t xml:space="preserve"> a </w:t>
      </w:r>
      <w:r w:rsidR="00B81422">
        <w:t xml:space="preserve">small </w:t>
      </w:r>
      <w:r w:rsidR="00B81422" w:rsidRPr="009316E1">
        <w:t>plot combine</w:t>
      </w:r>
      <w:r w:rsidR="00B81422">
        <w:t xml:space="preserve"> on two dates, </w:t>
      </w:r>
      <w:r w:rsidR="003C59E1">
        <w:t>two weeks apart at both locations</w:t>
      </w:r>
      <w:r w:rsidR="00B81422">
        <w:t>,</w:t>
      </w:r>
      <w:r w:rsidR="003C59E1">
        <w:t xml:space="preserve"> starting with the firs</w:t>
      </w:r>
      <w:r w:rsidR="00D55682">
        <w:t>t two planting dates</w:t>
      </w:r>
      <w:r w:rsidR="003C59E1">
        <w:t>, on</w:t>
      </w:r>
      <w:r w:rsidR="00D55682">
        <w:t xml:space="preserve"> October 2</w:t>
      </w:r>
      <w:r w:rsidR="00D55682" w:rsidRPr="00D55682">
        <w:rPr>
          <w:vertAlign w:val="superscript"/>
        </w:rPr>
        <w:t>nd</w:t>
      </w:r>
      <w:r w:rsidR="0067402B" w:rsidRPr="009316E1">
        <w:t>.</w:t>
      </w:r>
      <w:r w:rsidR="007D1E2F">
        <w:t xml:space="preserve"> Previous crop was oats</w:t>
      </w:r>
      <w:r w:rsidR="003E05C2">
        <w:t xml:space="preserve"> at HREC, and wheat, </w:t>
      </w:r>
      <w:r w:rsidR="007D1E2F">
        <w:t xml:space="preserve">at CREC. </w:t>
      </w:r>
      <w:r w:rsidR="00377C2C">
        <w:t xml:space="preserve">Results were analyzed </w:t>
      </w:r>
      <w:r w:rsidR="00B81422">
        <w:t>by</w:t>
      </w:r>
      <w:r w:rsidR="00377C2C">
        <w:t xml:space="preserve"> Analysis of Variance, and with the Mixed Model, means were separated by Tukey-Kramer’s test at the 95% level of significance. </w:t>
      </w:r>
    </w:p>
    <w:p w:rsidR="006422B0" w:rsidRPr="009316E1" w:rsidRDefault="006422B0" w:rsidP="00FA428D">
      <w:pPr>
        <w:jc w:val="both"/>
        <w:rPr>
          <w:b/>
        </w:rPr>
      </w:pPr>
    </w:p>
    <w:p w:rsidR="00E711E3" w:rsidRDefault="00E711E3" w:rsidP="00FA428D">
      <w:pPr>
        <w:jc w:val="both"/>
        <w:rPr>
          <w:b/>
        </w:rPr>
      </w:pPr>
      <w:r w:rsidRPr="00E711E3">
        <w:rPr>
          <w:b/>
        </w:rPr>
        <w:t>Results</w:t>
      </w:r>
    </w:p>
    <w:p w:rsidR="00DE101A" w:rsidRDefault="0018707E" w:rsidP="00FA428D">
      <w:pPr>
        <w:jc w:val="both"/>
      </w:pPr>
      <w:r>
        <w:t>Planting date and MG had significant impact on soybean yields, protein, oil, and test weight. At HREC</w:t>
      </w:r>
      <w:r w:rsidR="007C4361">
        <w:t>,</w:t>
      </w:r>
      <w:r>
        <w:t xml:space="preserve"> </w:t>
      </w:r>
      <w:r w:rsidR="003B2809">
        <w:t>mean</w:t>
      </w:r>
      <w:r w:rsidR="005C2C96">
        <w:t xml:space="preserve"> yield</w:t>
      </w:r>
      <w:r w:rsidR="003B2809">
        <w:t xml:space="preserve"> </w:t>
      </w:r>
      <w:r w:rsidR="0006451C">
        <w:t xml:space="preserve">across </w:t>
      </w:r>
      <w:r w:rsidR="00A94991">
        <w:t>MG</w:t>
      </w:r>
      <w:r w:rsidR="0006451C">
        <w:t>s</w:t>
      </w:r>
      <w:r w:rsidR="00A94991">
        <w:t xml:space="preserve"> and planting date</w:t>
      </w:r>
      <w:r w:rsidR="0006451C">
        <w:t>s</w:t>
      </w:r>
      <w:r w:rsidR="00A94991">
        <w:t xml:space="preserve"> </w:t>
      </w:r>
      <w:r w:rsidR="003B2809">
        <w:t>was 30.9b</w:t>
      </w:r>
      <w:r w:rsidR="002146C7">
        <w:t>u</w:t>
      </w:r>
      <w:r w:rsidR="00DE453E">
        <w:t>/a</w:t>
      </w:r>
      <w:r w:rsidR="00A94991">
        <w:t xml:space="preserve">. </w:t>
      </w:r>
      <w:r>
        <w:t>The MG 0.6</w:t>
      </w:r>
      <w:r w:rsidR="00CE7ADA">
        <w:t xml:space="preserve"> (Proseed 30-60) produced a mean yield of 36.2bu</w:t>
      </w:r>
      <w:r>
        <w:t>/a</w:t>
      </w:r>
      <w:r w:rsidR="00CE7ADA">
        <w:t xml:space="preserve">, while the MG 0.4 cultivar (Ashtabula) produced the lowest yield </w:t>
      </w:r>
      <w:r w:rsidR="00DE453E">
        <w:t>at</w:t>
      </w:r>
      <w:r w:rsidR="00CE7ADA">
        <w:t xml:space="preserve"> 26.6bu</w:t>
      </w:r>
      <w:r w:rsidR="00DE453E">
        <w:t>/a</w:t>
      </w:r>
      <w:r w:rsidR="00CE7ADA">
        <w:t>.</w:t>
      </w:r>
      <w:r w:rsidR="00FB5276">
        <w:t xml:space="preserve"> </w:t>
      </w:r>
      <w:r w:rsidR="00A94991">
        <w:t>The</w:t>
      </w:r>
      <w:r w:rsidR="0006451C">
        <w:t>re was a significan</w:t>
      </w:r>
      <w:r w:rsidR="00663BAF">
        <w:t xml:space="preserve">t </w:t>
      </w:r>
      <w:r w:rsidR="00AC0336">
        <w:t>interaction between MG and PD (T</w:t>
      </w:r>
      <w:r w:rsidR="00663BAF">
        <w:t>able 2)</w:t>
      </w:r>
      <w:r w:rsidR="00CE7ADA">
        <w:t>.</w:t>
      </w:r>
      <w:r w:rsidR="00FB5276">
        <w:t xml:space="preserve"> At HREC,</w:t>
      </w:r>
      <w:r w:rsidR="00663BAF">
        <w:t xml:space="preserve"> MG 0.</w:t>
      </w:r>
      <w:r>
        <w:t>6</w:t>
      </w:r>
      <w:r w:rsidR="00663BAF">
        <w:t xml:space="preserve"> produced significantly higher</w:t>
      </w:r>
      <w:r>
        <w:t xml:space="preserve"> yields than MG 0.2 and 0.4 when the soybean was planted early or late, </w:t>
      </w:r>
      <w:r w:rsidR="00663BAF">
        <w:t>except on May 19</w:t>
      </w:r>
      <w:r w:rsidR="00663BAF" w:rsidRPr="00663BAF">
        <w:rPr>
          <w:vertAlign w:val="superscript"/>
        </w:rPr>
        <w:t>th</w:t>
      </w:r>
      <w:r w:rsidR="00663BAF">
        <w:t xml:space="preserve">, </w:t>
      </w:r>
      <w:r>
        <w:t xml:space="preserve">when </w:t>
      </w:r>
      <w:r w:rsidR="00A124C0">
        <w:t>all MGs produced above average yields for the site</w:t>
      </w:r>
      <w:r w:rsidR="00C65359">
        <w:t xml:space="preserve"> (Figure 1)</w:t>
      </w:r>
      <w:r w:rsidR="00DE453E">
        <w:t xml:space="preserve">. </w:t>
      </w:r>
      <w:r w:rsidR="008B7592">
        <w:t xml:space="preserve">On the other hand, evidence of planting date </w:t>
      </w:r>
      <w:r w:rsidR="00A92093">
        <w:t xml:space="preserve">impact </w:t>
      </w:r>
      <w:r w:rsidR="008B7592">
        <w:t>on MG performance</w:t>
      </w:r>
      <w:r w:rsidR="00932B35">
        <w:t xml:space="preserve"> or vice versa, </w:t>
      </w:r>
      <w:r w:rsidR="008B7592">
        <w:t>did not provide any</w:t>
      </w:r>
      <w:r w:rsidR="00932B35">
        <w:t xml:space="preserve"> indication whether by planting MG 0.2 0.6 early or late conferred a yield advantage or disadvantage to the cultivar. </w:t>
      </w:r>
      <w:r w:rsidR="00CC06B5">
        <w:t xml:space="preserve">Generally, </w:t>
      </w:r>
      <w:r w:rsidR="00932B35">
        <w:t xml:space="preserve">later maturing cultivars </w:t>
      </w:r>
      <w:r w:rsidR="00CC06B5">
        <w:t xml:space="preserve">0.7 would be recommended for Hettinger, and the shorter MG cultivars (0.4 or lower), for </w:t>
      </w:r>
      <w:r w:rsidR="00E56D5D">
        <w:t>sites that are</w:t>
      </w:r>
      <w:r w:rsidR="00CC06B5">
        <w:t xml:space="preserve"> cooler</w:t>
      </w:r>
      <w:r w:rsidR="00E56D5D">
        <w:t>,</w:t>
      </w:r>
      <w:r w:rsidR="00CC06B5">
        <w:t xml:space="preserve"> </w:t>
      </w:r>
      <w:r w:rsidR="00E56D5D">
        <w:t xml:space="preserve">and have </w:t>
      </w:r>
      <w:r w:rsidR="00CC06B5">
        <w:t xml:space="preserve">shorter growing </w:t>
      </w:r>
      <w:r w:rsidR="00E56D5D">
        <w:t xml:space="preserve">seasons like </w:t>
      </w:r>
      <w:r w:rsidR="0074493C">
        <w:t>North East of the state</w:t>
      </w:r>
      <w:r w:rsidR="00CC06B5">
        <w:t xml:space="preserve">. </w:t>
      </w:r>
      <w:r w:rsidR="00AD660F">
        <w:t xml:space="preserve">The MG </w:t>
      </w:r>
      <w:r w:rsidR="0074493C">
        <w:t>0.</w:t>
      </w:r>
      <w:r w:rsidR="00AD660F">
        <w:t xml:space="preserve">6 </w:t>
      </w:r>
      <w:r w:rsidR="00660EB5">
        <w:t xml:space="preserve">cultivar </w:t>
      </w:r>
      <w:r w:rsidR="00AD660F">
        <w:t>also produced significantly high</w:t>
      </w:r>
      <w:r w:rsidR="0074493C">
        <w:t>er</w:t>
      </w:r>
      <w:r w:rsidR="00AD660F">
        <w:t xml:space="preserve"> </w:t>
      </w:r>
      <w:r w:rsidR="00AB5163">
        <w:t xml:space="preserve">seed </w:t>
      </w:r>
      <w:r w:rsidR="00AD660F">
        <w:t xml:space="preserve">protein content </w:t>
      </w:r>
      <w:r w:rsidR="00AB5163">
        <w:t xml:space="preserve">than </w:t>
      </w:r>
      <w:r w:rsidR="0074493C">
        <w:t>MG 0.4,</w:t>
      </w:r>
      <w:r w:rsidR="00AD660F">
        <w:t xml:space="preserve"> but </w:t>
      </w:r>
      <w:r w:rsidR="00DE101A">
        <w:t xml:space="preserve">less </w:t>
      </w:r>
      <w:r w:rsidR="00AB5163">
        <w:t>seed</w:t>
      </w:r>
      <w:r w:rsidR="00DE101A">
        <w:t xml:space="preserve"> oil. It is p</w:t>
      </w:r>
      <w:r w:rsidR="00660EB5">
        <w:t>robabl</w:t>
      </w:r>
      <w:r w:rsidR="00DE101A">
        <w:t>e that the results in 2015 were less influenced by MG. The two cultivars of MGs 0.2 and 0.6 were produced by the same company and were both non-conventional culti</w:t>
      </w:r>
      <w:r w:rsidR="004B33C4">
        <w:t xml:space="preserve">vars. </w:t>
      </w:r>
      <w:r w:rsidR="00DE101A">
        <w:t>It is probable that</w:t>
      </w:r>
      <w:r w:rsidR="004B33C4">
        <w:t xml:space="preserve"> the</w:t>
      </w:r>
      <w:r w:rsidR="00DE101A">
        <w:t xml:space="preserve"> genetic differences impacted how the crops responded to the environment</w:t>
      </w:r>
      <w:r w:rsidR="004B33C4">
        <w:t>, or the occurrence of stress during an important growth stage such as flowering, could have had some impact</w:t>
      </w:r>
      <w:r w:rsidR="00DE101A">
        <w:t xml:space="preserve">. </w:t>
      </w:r>
      <w:r w:rsidR="006D4E5E">
        <w:t xml:space="preserve">This first year result </w:t>
      </w:r>
      <w:r w:rsidR="006D4E5E">
        <w:lastRenderedPageBreak/>
        <w:t>nevertheless supports the use of later maturity cultivars than 0.4, as seen from the stable yield produced by Proseed 30-</w:t>
      </w:r>
      <w:r w:rsidR="003B2174">
        <w:t>6</w:t>
      </w:r>
      <w:r w:rsidR="006D4E5E">
        <w:t>0 across the four planting dates (Figure 1).</w:t>
      </w:r>
    </w:p>
    <w:p w:rsidR="00C16392" w:rsidRPr="006422B0" w:rsidRDefault="00DE101A" w:rsidP="00FA428D">
      <w:pPr>
        <w:jc w:val="both"/>
      </w:pPr>
      <w:r>
        <w:t xml:space="preserve">At the CREC site, where four cultivars were </w:t>
      </w:r>
      <w:r w:rsidR="00F76D07">
        <w:t>produc</w:t>
      </w:r>
      <w:r>
        <w:t>ed under irrigated conditions, yields were higher</w:t>
      </w:r>
      <w:r w:rsidR="00F76D07">
        <w:t xml:space="preserve"> than at HREC</w:t>
      </w:r>
      <w:r>
        <w:t xml:space="preserve">, with an average yield </w:t>
      </w:r>
      <w:r w:rsidR="00E56D5D">
        <w:t>of 42.5</w:t>
      </w:r>
      <w:r>
        <w:t>bu/a</w:t>
      </w:r>
      <w:r w:rsidR="00F76D07">
        <w:t xml:space="preserve">, significantly higher than the other three cultivars </w:t>
      </w:r>
      <w:r w:rsidR="00660EB5">
        <w:t>(MGs 0.2, 0.4, and 0.7),</w:t>
      </w:r>
      <w:r w:rsidR="00F76D07">
        <w:t xml:space="preserve"> </w:t>
      </w:r>
      <w:r w:rsidR="006D4E5E">
        <w:t xml:space="preserve">which </w:t>
      </w:r>
      <w:r w:rsidR="00F76D07">
        <w:t>produced between 40 and 41.2bu</w:t>
      </w:r>
      <w:r w:rsidR="006D4E5E">
        <w:t>/a</w:t>
      </w:r>
      <w:r w:rsidR="00F76D07">
        <w:t xml:space="preserve">. </w:t>
      </w:r>
      <w:r w:rsidR="00660EB5">
        <w:t>Yields ranged from 38.1</w:t>
      </w:r>
      <w:r w:rsidR="00F76D07">
        <w:t>bu</w:t>
      </w:r>
      <w:r w:rsidR="00660EB5">
        <w:t>,</w:t>
      </w:r>
      <w:r w:rsidR="00C65359">
        <w:t xml:space="preserve"> when planted on May 19</w:t>
      </w:r>
      <w:r w:rsidR="00F76D07" w:rsidRPr="00F76D07">
        <w:rPr>
          <w:vertAlign w:val="superscript"/>
        </w:rPr>
        <w:t>th</w:t>
      </w:r>
      <w:r w:rsidR="00F76D07">
        <w:t>, t</w:t>
      </w:r>
      <w:r w:rsidR="00E56D5D">
        <w:t>o 45.3</w:t>
      </w:r>
      <w:r w:rsidR="00F76D07">
        <w:t>bu when plant</w:t>
      </w:r>
      <w:r w:rsidR="006D4E5E">
        <w:t>ed</w:t>
      </w:r>
      <w:r w:rsidR="00F76D07">
        <w:t xml:space="preserve"> on June 1</w:t>
      </w:r>
      <w:r w:rsidR="00F76D07" w:rsidRPr="00F76D07">
        <w:rPr>
          <w:vertAlign w:val="superscript"/>
        </w:rPr>
        <w:t>st</w:t>
      </w:r>
      <w:r w:rsidR="00F76D07">
        <w:t xml:space="preserve">. </w:t>
      </w:r>
      <w:r w:rsidR="00E74D0C">
        <w:t>Past research at Carrington suggests the ideal planting date is close to the 20</w:t>
      </w:r>
      <w:r w:rsidR="00E74D0C" w:rsidRPr="00E74D0C">
        <w:rPr>
          <w:vertAlign w:val="superscript"/>
        </w:rPr>
        <w:t>th</w:t>
      </w:r>
      <w:r w:rsidR="00E74D0C">
        <w:t xml:space="preserve"> of May, for dryland production. Beyond the 1</w:t>
      </w:r>
      <w:r w:rsidR="00E74D0C" w:rsidRPr="00E74D0C">
        <w:rPr>
          <w:vertAlign w:val="superscript"/>
        </w:rPr>
        <w:t>st</w:t>
      </w:r>
      <w:r w:rsidR="00E74D0C">
        <w:t xml:space="preserve"> of June</w:t>
      </w:r>
      <w:r w:rsidR="006D4E5E">
        <w:t>,</w:t>
      </w:r>
      <w:r w:rsidR="00E74D0C">
        <w:t xml:space="preserve"> risk of yield </w:t>
      </w:r>
      <w:r w:rsidR="006D4E5E">
        <w:t>can increase quite fast</w:t>
      </w:r>
      <w:r w:rsidR="00E74D0C">
        <w:t>. Our results suggest that under adequate moisture, high yields are possible</w:t>
      </w:r>
      <w:r w:rsidR="006D4E5E">
        <w:t xml:space="preserve"> when soybean is planted on June 1</w:t>
      </w:r>
      <w:r w:rsidR="006D4E5E" w:rsidRPr="006D4E5E">
        <w:rPr>
          <w:vertAlign w:val="superscript"/>
        </w:rPr>
        <w:t>st</w:t>
      </w:r>
      <w:r w:rsidR="006D4E5E">
        <w:t xml:space="preserve">. </w:t>
      </w:r>
      <w:r w:rsidR="00F76D07">
        <w:t>The hig</w:t>
      </w:r>
      <w:r w:rsidR="00C959C3">
        <w:t>hest yield was recorded with</w:t>
      </w:r>
      <w:r w:rsidR="00F76D07">
        <w:t xml:space="preserve"> </w:t>
      </w:r>
      <w:r w:rsidR="003B2174">
        <w:t>MG 0.6 (Proseed 30-6</w:t>
      </w:r>
      <w:r>
        <w:t>0)</w:t>
      </w:r>
      <w:r w:rsidR="00E56D5D">
        <w:t xml:space="preserve"> at 48.7</w:t>
      </w:r>
      <w:r w:rsidR="00F76D07">
        <w:t>bu</w:t>
      </w:r>
      <w:r w:rsidR="00C959C3">
        <w:t>/a</w:t>
      </w:r>
      <w:r w:rsidR="00F76D07">
        <w:t>. The MG</w:t>
      </w:r>
      <w:r w:rsidR="00C959C3">
        <w:t>s</w:t>
      </w:r>
      <w:r w:rsidR="00F76D07">
        <w:t xml:space="preserve"> 0.</w:t>
      </w:r>
      <w:r w:rsidR="00C959C3">
        <w:t>2</w:t>
      </w:r>
      <w:r w:rsidR="00F76D07">
        <w:t xml:space="preserve">., 0.4, and 0.7 (Prosoy) </w:t>
      </w:r>
      <w:r w:rsidR="006D4E5E">
        <w:t xml:space="preserve">cultivars </w:t>
      </w:r>
      <w:r w:rsidR="00F76D07">
        <w:t>had similar yields</w:t>
      </w:r>
      <w:r>
        <w:t xml:space="preserve">. </w:t>
      </w:r>
      <w:r w:rsidR="007342D7">
        <w:t>P</w:t>
      </w:r>
      <w:r w:rsidR="000B188A">
        <w:t>rotein content w</w:t>
      </w:r>
      <w:r w:rsidR="003B2174">
        <w:t>as low (&lt;34%) for all varieties,</w:t>
      </w:r>
      <w:r w:rsidR="000B188A">
        <w:t xml:space="preserve"> and oil content was not different between </w:t>
      </w:r>
      <w:r w:rsidR="005C2C96">
        <w:t>MGs</w:t>
      </w:r>
      <w:r w:rsidR="000B188A">
        <w:t>.</w:t>
      </w:r>
      <w:r w:rsidR="00DB64FF">
        <w:t xml:space="preserve"> Yield differences were significant between dates. The </w:t>
      </w:r>
      <w:r w:rsidR="005C2C96">
        <w:t xml:space="preserve">highest yields were recorded when soybean was planted on </w:t>
      </w:r>
      <w:r w:rsidR="00DB64FF">
        <w:t>May 19</w:t>
      </w:r>
      <w:r w:rsidR="00DB64FF" w:rsidRPr="00DB64FF">
        <w:rPr>
          <w:vertAlign w:val="superscript"/>
        </w:rPr>
        <w:t>th</w:t>
      </w:r>
      <w:r w:rsidR="00DB64FF">
        <w:t xml:space="preserve"> </w:t>
      </w:r>
      <w:r w:rsidR="005C2C96">
        <w:t>(35bu</w:t>
      </w:r>
      <w:r w:rsidR="00093465">
        <w:t>/a</w:t>
      </w:r>
      <w:r w:rsidR="00DB64FF">
        <w:t xml:space="preserve">), followed by </w:t>
      </w:r>
      <w:r w:rsidR="00CF240D">
        <w:t>May 27</w:t>
      </w:r>
      <w:r w:rsidR="00CF240D" w:rsidRPr="00CF240D">
        <w:rPr>
          <w:vertAlign w:val="superscript"/>
        </w:rPr>
        <w:t>th</w:t>
      </w:r>
      <w:r w:rsidR="00CF240D">
        <w:t xml:space="preserve"> </w:t>
      </w:r>
      <w:r w:rsidR="00BF2300">
        <w:t>(</w:t>
      </w:r>
      <w:r w:rsidR="00CF240D">
        <w:t>31.4bu</w:t>
      </w:r>
      <w:r w:rsidR="00AC0336">
        <w:t>/a</w:t>
      </w:r>
      <w:r w:rsidR="00BF2300">
        <w:t>), which is when majority f</w:t>
      </w:r>
      <w:r w:rsidR="00AC0336">
        <w:t xml:space="preserve">armers </w:t>
      </w:r>
      <w:r w:rsidR="00BF2300">
        <w:t>near</w:t>
      </w:r>
      <w:r w:rsidR="00AC0336">
        <w:t xml:space="preserve"> Hettinger County plant </w:t>
      </w:r>
      <w:r w:rsidR="00BF2300">
        <w:t xml:space="preserve">their </w:t>
      </w:r>
      <w:r w:rsidR="00AC0336">
        <w:t>soybeans</w:t>
      </w:r>
      <w:r w:rsidR="00BF2300">
        <w:t>. More often than planting date, the cultivar influence on yield was more commonly observed as shown on table 3.</w:t>
      </w:r>
      <w:r w:rsidR="00246D7F">
        <w:t xml:space="preserve"> </w:t>
      </w:r>
    </w:p>
    <w:p w:rsidR="000C2E99" w:rsidRDefault="00DB64FF" w:rsidP="009B7DC2">
      <w:r>
        <w:t xml:space="preserve">At Carrington, </w:t>
      </w:r>
      <w:r w:rsidR="005A613B">
        <w:t>y</w:t>
      </w:r>
      <w:r w:rsidR="003B2174">
        <w:t xml:space="preserve">ield response to MG and planting date was significant. </w:t>
      </w:r>
      <w:r w:rsidR="00ED3E8C">
        <w:t xml:space="preserve">Proseed 30-60 </w:t>
      </w:r>
      <w:r w:rsidR="00982394">
        <w:t xml:space="preserve">(0.6) </w:t>
      </w:r>
      <w:r w:rsidR="00ED3E8C">
        <w:t>a</w:t>
      </w:r>
      <w:r w:rsidR="003B2174">
        <w:t>gain</w:t>
      </w:r>
      <w:r w:rsidR="00ED3E8C">
        <w:t xml:space="preserve"> p</w:t>
      </w:r>
      <w:r w:rsidR="005C2C96">
        <w:t>roduced the highest yield (48.2</w:t>
      </w:r>
      <w:r w:rsidR="00ED3E8C">
        <w:t xml:space="preserve">bu), which </w:t>
      </w:r>
      <w:r w:rsidR="007342D7">
        <w:t xml:space="preserve">was </w:t>
      </w:r>
      <w:r w:rsidR="00ED3E8C">
        <w:t>significant</w:t>
      </w:r>
      <w:r w:rsidR="003B2174">
        <w:t xml:space="preserve">ly higher than </w:t>
      </w:r>
      <w:r w:rsidR="00ED3E8C">
        <w:t xml:space="preserve">the rest. Ashtabula </w:t>
      </w:r>
      <w:r w:rsidR="003B2174">
        <w:t xml:space="preserve">(0.4) </w:t>
      </w:r>
      <w:r w:rsidR="00ED3E8C">
        <w:t xml:space="preserve">had the lowest yield </w:t>
      </w:r>
      <w:r w:rsidR="00982394">
        <w:t xml:space="preserve">(40.0) </w:t>
      </w:r>
      <w:r w:rsidR="00ED3E8C">
        <w:t xml:space="preserve">but this was not </w:t>
      </w:r>
      <w:r w:rsidR="00982394">
        <w:t xml:space="preserve">significantly </w:t>
      </w:r>
      <w:r w:rsidR="00ED3E8C">
        <w:t xml:space="preserve">different from Proseed 10-20 </w:t>
      </w:r>
      <w:r w:rsidR="00E56D5D">
        <w:t>(40.2bu</w:t>
      </w:r>
      <w:r w:rsidR="00AC0336">
        <w:t>/a</w:t>
      </w:r>
      <w:r w:rsidR="00E56D5D">
        <w:t>) and Prosoy (40.1</w:t>
      </w:r>
      <w:r w:rsidR="00982394">
        <w:t>bu</w:t>
      </w:r>
      <w:r w:rsidR="00AC0336">
        <w:t>/a</w:t>
      </w:r>
      <w:r w:rsidR="00982394">
        <w:t>)</w:t>
      </w:r>
      <w:r w:rsidR="008E1443">
        <w:t xml:space="preserve">. </w:t>
      </w:r>
      <w:r w:rsidR="003B2174">
        <w:t>Planting on June 1</w:t>
      </w:r>
      <w:r w:rsidR="003B2174" w:rsidRPr="003B2174">
        <w:rPr>
          <w:vertAlign w:val="superscript"/>
        </w:rPr>
        <w:t>st</w:t>
      </w:r>
      <w:r w:rsidR="003B2174">
        <w:t xml:space="preserve"> gave the highest yield</w:t>
      </w:r>
      <w:r w:rsidR="00AC0336">
        <w:t xml:space="preserve">, and the lowest on </w:t>
      </w:r>
      <w:r w:rsidR="003B2174">
        <w:t xml:space="preserve">May </w:t>
      </w:r>
      <w:r w:rsidR="00AC0336">
        <w:t>13</w:t>
      </w:r>
      <w:r w:rsidR="00AC0336" w:rsidRPr="00AC0336">
        <w:rPr>
          <w:vertAlign w:val="superscript"/>
        </w:rPr>
        <w:t>th</w:t>
      </w:r>
      <w:r w:rsidR="00AC0336">
        <w:t xml:space="preserve"> (Figure 2).</w:t>
      </w:r>
      <w:r w:rsidR="00873DF1">
        <w:t xml:space="preserve"> </w:t>
      </w:r>
      <w:r w:rsidR="00246D7F">
        <w:t>Differences in yields that were associated with</w:t>
      </w:r>
      <w:r w:rsidR="007342D7">
        <w:t xml:space="preserve"> maturity class </w:t>
      </w:r>
      <w:r w:rsidR="005A613B">
        <w:t xml:space="preserve">at CREC </w:t>
      </w:r>
      <w:r w:rsidR="00246D7F">
        <w:t>did not depend</w:t>
      </w:r>
      <w:r w:rsidR="007342D7">
        <w:t xml:space="preserve"> on planting date. </w:t>
      </w:r>
      <w:r w:rsidR="00F54076">
        <w:t xml:space="preserve">Overall, </w:t>
      </w:r>
      <w:r w:rsidR="00624CDC">
        <w:t>planting between the 19</w:t>
      </w:r>
      <w:r w:rsidR="00624CDC" w:rsidRPr="00624CDC">
        <w:rPr>
          <w:vertAlign w:val="superscript"/>
        </w:rPr>
        <w:t>th</w:t>
      </w:r>
      <w:r w:rsidR="00624CDC">
        <w:t xml:space="preserve"> of May and the 1</w:t>
      </w:r>
      <w:r w:rsidR="00624CDC" w:rsidRPr="00624CDC">
        <w:rPr>
          <w:vertAlign w:val="superscript"/>
        </w:rPr>
        <w:t>st</w:t>
      </w:r>
      <w:r w:rsidR="00624CDC">
        <w:t xml:space="preserve"> of June provided the highest yields at both locations.</w:t>
      </w:r>
      <w:r w:rsidR="005A613B">
        <w:t xml:space="preserve"> While some research results are suggesting that early planting would produce as high as todays normal window for planting, more studies are needed under varying climatic locations to determine if </w:t>
      </w:r>
      <w:r w:rsidR="0040134F">
        <w:t>normal window for planting should be wider or be restricted.</w:t>
      </w:r>
    </w:p>
    <w:p w:rsidR="002D7873" w:rsidRDefault="000C2E99" w:rsidP="009B7DC2">
      <w:r>
        <w:t>In summary, soybean planted between May 19</w:t>
      </w:r>
      <w:r w:rsidRPr="000C2E99">
        <w:rPr>
          <w:vertAlign w:val="superscript"/>
        </w:rPr>
        <w:t>th</w:t>
      </w:r>
      <w:r>
        <w:t xml:space="preserve"> and June 1</w:t>
      </w:r>
      <w:r w:rsidRPr="000C2E99">
        <w:rPr>
          <w:vertAlign w:val="superscript"/>
        </w:rPr>
        <w:t>st</w:t>
      </w:r>
      <w:r w:rsidR="00FB1431">
        <w:t xml:space="preserve"> produced higher yields than seeding before (e.g., May 5</w:t>
      </w:r>
      <w:r w:rsidR="00FB1431" w:rsidRPr="00FB1431">
        <w:rPr>
          <w:vertAlign w:val="superscript"/>
        </w:rPr>
        <w:t>th</w:t>
      </w:r>
      <w:r w:rsidR="00FB1431">
        <w:t xml:space="preserve"> and 13</w:t>
      </w:r>
      <w:r w:rsidR="00FB1431" w:rsidRPr="00FB1431">
        <w:rPr>
          <w:vertAlign w:val="superscript"/>
        </w:rPr>
        <w:t>th</w:t>
      </w:r>
      <w:r w:rsidR="00FB1431">
        <w:t>) or later than June 1</w:t>
      </w:r>
      <w:r w:rsidR="00FB1431" w:rsidRPr="00FB1431">
        <w:rPr>
          <w:vertAlign w:val="superscript"/>
        </w:rPr>
        <w:t>st</w:t>
      </w:r>
      <w:r w:rsidR="00FB1431">
        <w:t xml:space="preserve">. Outside this window, plants may be more vulnerable to early planning to late spring frost, and early frost in the fall  </w:t>
      </w:r>
      <w:r>
        <w:t xml:space="preserve"> </w:t>
      </w:r>
      <w:r w:rsidR="0040134F">
        <w:t xml:space="preserve"> </w:t>
      </w:r>
      <w:r w:rsidR="005A613B">
        <w:t xml:space="preserve">    </w:t>
      </w:r>
    </w:p>
    <w:p w:rsidR="00CD7101" w:rsidRDefault="00246D7F" w:rsidP="00246D7F">
      <w:pPr>
        <w:tabs>
          <w:tab w:val="left" w:pos="6714"/>
        </w:tabs>
      </w:pPr>
      <w:r>
        <w:tab/>
      </w:r>
    </w:p>
    <w:p w:rsidR="00CD7101" w:rsidRDefault="00A233E9" w:rsidP="008C5D09">
      <w:pPr>
        <w:jc w:val="center"/>
      </w:pPr>
      <w:r>
        <w:rPr>
          <w:noProof/>
        </w:rPr>
        <w:drawing>
          <wp:inline distT="0" distB="0" distL="0" distR="0" wp14:anchorId="67D01706" wp14:editId="35102BCE">
            <wp:extent cx="4619768" cy="1965278"/>
            <wp:effectExtent l="0" t="0" r="9525" b="165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456" w:rsidRDefault="002C6428" w:rsidP="009B7DC2">
      <w:pPr>
        <w:rPr>
          <w:sz w:val="20"/>
          <w:szCs w:val="20"/>
        </w:rPr>
      </w:pPr>
      <w:r>
        <w:tab/>
        <w:t xml:space="preserve">     </w:t>
      </w:r>
      <w:r w:rsidR="00DD1320" w:rsidRPr="00DD1320">
        <w:rPr>
          <w:sz w:val="20"/>
          <w:szCs w:val="20"/>
        </w:rPr>
        <w:t xml:space="preserve">Identical letters </w:t>
      </w:r>
      <w:r w:rsidR="00DD1320">
        <w:rPr>
          <w:sz w:val="20"/>
          <w:szCs w:val="20"/>
        </w:rPr>
        <w:t xml:space="preserve">within </w:t>
      </w:r>
      <w:r>
        <w:rPr>
          <w:sz w:val="20"/>
          <w:szCs w:val="20"/>
        </w:rPr>
        <w:t>respective</w:t>
      </w:r>
      <w:r w:rsidR="00DD1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planting </w:t>
      </w:r>
      <w:r w:rsidR="00DD1320">
        <w:rPr>
          <w:sz w:val="20"/>
          <w:szCs w:val="20"/>
        </w:rPr>
        <w:t>date</w:t>
      </w:r>
      <w:r>
        <w:rPr>
          <w:sz w:val="20"/>
          <w:szCs w:val="20"/>
        </w:rPr>
        <w:t>s</w:t>
      </w:r>
      <w:r w:rsidR="00DD1320">
        <w:rPr>
          <w:sz w:val="20"/>
          <w:szCs w:val="20"/>
        </w:rPr>
        <w:t xml:space="preserve"> are not significantly different</w:t>
      </w:r>
      <w:r>
        <w:rPr>
          <w:sz w:val="20"/>
          <w:szCs w:val="20"/>
        </w:rPr>
        <w:t xml:space="preserve"> from each other</w:t>
      </w:r>
    </w:p>
    <w:p w:rsidR="002C6428" w:rsidRPr="00DD1320" w:rsidRDefault="002C6428" w:rsidP="009B7DC2">
      <w:pPr>
        <w:rPr>
          <w:sz w:val="20"/>
          <w:szCs w:val="20"/>
        </w:rPr>
      </w:pPr>
    </w:p>
    <w:p w:rsidR="00C46A6B" w:rsidRDefault="00C46A6B" w:rsidP="009B7DC2"/>
    <w:p w:rsidR="006B78E0" w:rsidRDefault="002C6428" w:rsidP="009B7DC2">
      <w:r>
        <w:t xml:space="preserve"> </w:t>
      </w:r>
    </w:p>
    <w:p w:rsidR="006B78E0" w:rsidRDefault="006B78E0" w:rsidP="009B7DC2"/>
    <w:p w:rsidR="006B78E0" w:rsidRDefault="006B78E0" w:rsidP="009B7DC2"/>
    <w:p w:rsidR="006B78E0" w:rsidRDefault="006B78E0" w:rsidP="009B7DC2"/>
    <w:p w:rsidR="006B78E0" w:rsidRDefault="006B78E0" w:rsidP="009B7DC2"/>
    <w:tbl>
      <w:tblPr>
        <w:tblW w:w="9156" w:type="dxa"/>
        <w:tblLook w:val="04A0" w:firstRow="1" w:lastRow="0" w:firstColumn="1" w:lastColumn="0" w:noHBand="0" w:noVBand="1"/>
      </w:tblPr>
      <w:tblGrid>
        <w:gridCol w:w="1003"/>
        <w:gridCol w:w="1508"/>
        <w:gridCol w:w="1702"/>
        <w:gridCol w:w="402"/>
        <w:gridCol w:w="1187"/>
        <w:gridCol w:w="118"/>
        <w:gridCol w:w="766"/>
        <w:gridCol w:w="983"/>
        <w:gridCol w:w="705"/>
        <w:gridCol w:w="782"/>
      </w:tblGrid>
      <w:tr w:rsidR="00FD4913" w:rsidRPr="00E336B7" w:rsidTr="00122BAC">
        <w:trPr>
          <w:trHeight w:val="570"/>
        </w:trPr>
        <w:tc>
          <w:tcPr>
            <w:tcW w:w="9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4913" w:rsidRPr="00E336B7" w:rsidRDefault="00122BAC" w:rsidP="008A0D9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336B7">
              <w:rPr>
                <w:b/>
                <w:sz w:val="22"/>
                <w:szCs w:val="22"/>
              </w:rPr>
              <w:t>Tabe 2</w:t>
            </w:r>
            <w:r w:rsidR="00FD4913" w:rsidRPr="00E336B7">
              <w:rPr>
                <w:b/>
                <w:sz w:val="22"/>
                <w:szCs w:val="22"/>
              </w:rPr>
              <w:t xml:space="preserve">. Effect of soybean planting date and maturity group on seed yield, protein, oil content, and test weight </w:t>
            </w:r>
            <w:r w:rsidR="008A0D97" w:rsidRPr="00E336B7">
              <w:rPr>
                <w:b/>
                <w:sz w:val="22"/>
                <w:szCs w:val="22"/>
              </w:rPr>
              <w:t>(</w:t>
            </w:r>
            <w:r w:rsidR="00FD4913" w:rsidRPr="00E336B7">
              <w:rPr>
                <w:b/>
                <w:sz w:val="22"/>
                <w:szCs w:val="22"/>
              </w:rPr>
              <w:t>Hettinger, ND</w:t>
            </w:r>
            <w:r w:rsidR="001E1502" w:rsidRPr="00E336B7">
              <w:rPr>
                <w:b/>
                <w:sz w:val="22"/>
                <w:szCs w:val="22"/>
              </w:rPr>
              <w:t>)</w:t>
            </w:r>
          </w:p>
        </w:tc>
      </w:tr>
      <w:tr w:rsidR="00FD4913" w:rsidRPr="00E336B7" w:rsidTr="00122BAC">
        <w:trPr>
          <w:trHeight w:val="570"/>
        </w:trPr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Planting Date (PD)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Maturity Group (MG)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Cultivar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Yield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Oil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TWT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bu/ac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lb/bu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6B78E0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Ver</w:t>
            </w:r>
            <w:r w:rsidR="00FD4913" w:rsidRPr="00E336B7">
              <w:rPr>
                <w:rFonts w:eastAsia="Times New Roman"/>
                <w:bCs/>
                <w:sz w:val="22"/>
                <w:szCs w:val="22"/>
              </w:rPr>
              <w:t>y</w:t>
            </w:r>
            <w:r w:rsidRPr="00E336B7">
              <w:rPr>
                <w:rFonts w:eastAsia="Times New Roman"/>
                <w:bCs/>
                <w:sz w:val="22"/>
                <w:szCs w:val="22"/>
              </w:rPr>
              <w:t xml:space="preserve"> early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29.8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54.0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22.6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32.7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17.5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55.0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36.7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55.2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6B78E0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Early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13-May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25.9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15.8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55.6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13-May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21.4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55.4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13-May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35.7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55.7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Normal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19-May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35.1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55.4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19-May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32.8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17.6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55.3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19-May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36.4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56.0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6B78E0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Normal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27-May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29.3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56.3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27-May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29.0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32.9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55.0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27-May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8B52F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36.0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33.8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16.3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54.9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Sig of F.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36B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PD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MG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ns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MG x PD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*</w:t>
            </w:r>
          </w:p>
        </w:tc>
      </w:tr>
      <w:tr w:rsidR="00FD4913" w:rsidRPr="00E336B7" w:rsidTr="00122BAC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sz w:val="22"/>
                <w:szCs w:val="22"/>
              </w:rPr>
              <w:t>SE</w:t>
            </w:r>
            <w:r w:rsidR="00122BAC" w:rsidRPr="00E336B7">
              <w:rPr>
                <w:rFonts w:eastAsia="Times New Roman"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13" w:rsidRPr="00E336B7" w:rsidRDefault="00FD4913" w:rsidP="00FD4913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336B7">
              <w:rPr>
                <w:rFonts w:eastAsia="Times New Roman"/>
                <w:bCs/>
                <w:color w:val="000000"/>
                <w:sz w:val="22"/>
                <w:szCs w:val="22"/>
              </w:rPr>
              <w:t>0.34</w:t>
            </w:r>
          </w:p>
        </w:tc>
      </w:tr>
      <w:tr w:rsidR="00122BAC" w:rsidRPr="00E336B7" w:rsidTr="00E336B7">
        <w:trPr>
          <w:trHeight w:val="81"/>
        </w:trPr>
        <w:tc>
          <w:tcPr>
            <w:tcW w:w="9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BAC" w:rsidRPr="00E336B7" w:rsidRDefault="00122BAC" w:rsidP="00122BAC">
            <w:pPr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  <w:vertAlign w:val="superscript"/>
              </w:rPr>
              <w:t>+</w:t>
            </w:r>
            <w:r w:rsidRPr="00E336B7">
              <w:rPr>
                <w:sz w:val="22"/>
                <w:szCs w:val="22"/>
              </w:rPr>
              <w:t>Standard error</w:t>
            </w:r>
          </w:p>
        </w:tc>
      </w:tr>
    </w:tbl>
    <w:p w:rsidR="00C46A6B" w:rsidRDefault="00C46A6B" w:rsidP="009B7DC2"/>
    <w:p w:rsidR="00E336B7" w:rsidRDefault="00E336B7" w:rsidP="009B7DC2"/>
    <w:tbl>
      <w:tblPr>
        <w:tblW w:w="5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40"/>
        <w:gridCol w:w="1120"/>
        <w:gridCol w:w="1180"/>
        <w:gridCol w:w="960"/>
      </w:tblGrid>
      <w:tr w:rsidR="00E336B7" w:rsidRPr="00E336B7" w:rsidTr="00E336B7">
        <w:trPr>
          <w:trHeight w:val="300"/>
          <w:jc w:val="center"/>
        </w:trPr>
        <w:tc>
          <w:tcPr>
            <w:tcW w:w="5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6B7" w:rsidRPr="00E336B7" w:rsidRDefault="00E336B7" w:rsidP="005A61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36B7">
              <w:rPr>
                <w:b/>
                <w:sz w:val="22"/>
                <w:szCs w:val="22"/>
              </w:rPr>
              <w:t>Table 3. Effect of soybean planting date and maturity group on soybean seed performance at Hettinger, ND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>Planting Date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>Yield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>Oil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>TWT</w:t>
            </w:r>
          </w:p>
        </w:tc>
      </w:tr>
      <w:tr w:rsidR="00E336B7" w:rsidRPr="00E336B7" w:rsidTr="00E336B7">
        <w:trPr>
          <w:trHeight w:val="24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bu/ac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lb/bu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29.7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54.7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13-May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27.7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55.5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19-May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35.0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55.6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27-May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55.4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55.3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HSD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E336B7" w:rsidRPr="00E336B7" w:rsidTr="00E336B7">
        <w:trPr>
          <w:trHeight w:val="272"/>
          <w:jc w:val="center"/>
        </w:trPr>
        <w:tc>
          <w:tcPr>
            <w:tcW w:w="1500" w:type="dxa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336B7" w:rsidRPr="00E336B7" w:rsidRDefault="00E336B7" w:rsidP="005A61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36B7">
              <w:rPr>
                <w:bCs/>
                <w:color w:val="000000"/>
                <w:sz w:val="22"/>
                <w:szCs w:val="22"/>
              </w:rPr>
              <w:t xml:space="preserve">Maturity Group 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30.0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33.2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16.0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55.3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26.6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32.8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17.5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55.2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36.2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33.7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16.5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t>55.5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30.9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55.3</w:t>
            </w:r>
          </w:p>
        </w:tc>
      </w:tr>
      <w:tr w:rsidR="00E336B7" w:rsidRPr="00E336B7" w:rsidTr="00E336B7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36B7" w:rsidRPr="00E336B7" w:rsidRDefault="00E336B7" w:rsidP="005A613B">
            <w:pPr>
              <w:jc w:val="center"/>
              <w:rPr>
                <w:sz w:val="22"/>
                <w:szCs w:val="22"/>
              </w:rPr>
            </w:pPr>
            <w:r w:rsidRPr="00E336B7">
              <w:rPr>
                <w:sz w:val="22"/>
                <w:szCs w:val="22"/>
              </w:rPr>
              <w:lastRenderedPageBreak/>
              <w:t>Tukey (HSD)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2.89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36B7" w:rsidRPr="00E336B7" w:rsidRDefault="00E336B7" w:rsidP="005A613B">
            <w:pPr>
              <w:jc w:val="center"/>
              <w:rPr>
                <w:color w:val="000000"/>
                <w:sz w:val="22"/>
                <w:szCs w:val="22"/>
              </w:rPr>
            </w:pPr>
            <w:r w:rsidRPr="00E336B7">
              <w:rPr>
                <w:color w:val="000000"/>
                <w:sz w:val="22"/>
                <w:szCs w:val="22"/>
              </w:rPr>
              <w:t>ns</w:t>
            </w:r>
          </w:p>
        </w:tc>
      </w:tr>
    </w:tbl>
    <w:p w:rsidR="00E336B7" w:rsidRPr="00F02AEE" w:rsidRDefault="00E336B7" w:rsidP="009B7DC2"/>
    <w:p w:rsidR="00C46A6B" w:rsidRDefault="00AA403B" w:rsidP="003D049B">
      <w:pPr>
        <w:jc w:val="center"/>
      </w:pPr>
      <w:r>
        <w:rPr>
          <w:noProof/>
        </w:rPr>
        <w:drawing>
          <wp:inline distT="0" distB="0" distL="0" distR="0" wp14:anchorId="5E6945BF" wp14:editId="07A587AF">
            <wp:extent cx="5390866" cy="2101755"/>
            <wp:effectExtent l="0" t="0" r="635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6428" w:rsidRPr="00E336B7" w:rsidRDefault="00E336B7" w:rsidP="00E336B7">
      <w:pPr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E336B7">
        <w:rPr>
          <w:sz w:val="16"/>
          <w:szCs w:val="16"/>
        </w:rPr>
        <w:t>*</w:t>
      </w:r>
      <w:r w:rsidR="002C6428" w:rsidRPr="00E336B7">
        <w:rPr>
          <w:sz w:val="16"/>
          <w:szCs w:val="16"/>
        </w:rPr>
        <w:t>Identical upper case letters across planting dates are not significantly different from each other (</w:t>
      </w:r>
      <w:r w:rsidR="002C6428" w:rsidRPr="00E336B7">
        <w:rPr>
          <w:i/>
          <w:sz w:val="16"/>
          <w:szCs w:val="16"/>
        </w:rPr>
        <w:t>p&lt;0.05</w:t>
      </w:r>
      <w:r w:rsidR="002C6428" w:rsidRPr="00E336B7">
        <w:rPr>
          <w:sz w:val="16"/>
          <w:szCs w:val="16"/>
        </w:rPr>
        <w:t>)</w:t>
      </w:r>
    </w:p>
    <w:p w:rsidR="002C6428" w:rsidRPr="00E336B7" w:rsidRDefault="00E336B7" w:rsidP="00E336B7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E336B7">
        <w:rPr>
          <w:sz w:val="16"/>
          <w:szCs w:val="16"/>
        </w:rPr>
        <w:t xml:space="preserve"> </w:t>
      </w:r>
      <w:r w:rsidR="002C6428" w:rsidRPr="00E336B7">
        <w:rPr>
          <w:sz w:val="16"/>
          <w:szCs w:val="16"/>
        </w:rPr>
        <w:t>Identical lower case letters within respective planting dates are not significantly different from each other</w:t>
      </w:r>
    </w:p>
    <w:p w:rsidR="00AA403B" w:rsidRDefault="00AA403B" w:rsidP="009B7DC2"/>
    <w:p w:rsidR="005C198B" w:rsidRDefault="005C198B" w:rsidP="00F91086">
      <w:pPr>
        <w:ind w:left="540"/>
      </w:pPr>
    </w:p>
    <w:tbl>
      <w:tblPr>
        <w:tblW w:w="9814" w:type="dxa"/>
        <w:jc w:val="center"/>
        <w:tblLook w:val="04A0" w:firstRow="1" w:lastRow="0" w:firstColumn="1" w:lastColumn="0" w:noHBand="0" w:noVBand="1"/>
      </w:tblPr>
      <w:tblGrid>
        <w:gridCol w:w="1423"/>
        <w:gridCol w:w="2516"/>
        <w:gridCol w:w="1125"/>
        <w:gridCol w:w="368"/>
        <w:gridCol w:w="1375"/>
        <w:gridCol w:w="160"/>
        <w:gridCol w:w="745"/>
        <w:gridCol w:w="796"/>
        <w:gridCol w:w="607"/>
        <w:gridCol w:w="699"/>
      </w:tblGrid>
      <w:tr w:rsidR="005C198B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C19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Table 4. Effect of soybean planting date and maturity group on seed yield, protein, oil content, and test weight (Carrington, ND) 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 xml:space="preserve"> Planting Date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223" w:hanging="114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-47" w:right="167" w:hanging="72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Cultivar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Yield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left="-150" w:hanging="36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hanging="236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hanging="128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TWT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167" w:hanging="114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F91086">
            <w:pPr>
              <w:ind w:left="133" w:right="167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bu/ac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lb/bu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76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Early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57.4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57.1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57.0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Prosoy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57.7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76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Normal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20-May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57.6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20-May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57.3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20-May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57.3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20-May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Prosoy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57.8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76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Late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57.4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57.1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57.7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Prosoy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57.9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tabs>
                <w:tab w:val="left" w:pos="667"/>
              </w:tabs>
              <w:ind w:left="76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Very late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10-20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57.8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Ashtabula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56.8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Proseed 30-60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57.4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16-Jun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363264">
            <w:pPr>
              <w:ind w:right="167" w:hanging="114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98B" w:rsidRPr="005C198B" w:rsidRDefault="005C198B" w:rsidP="00F91086">
            <w:pPr>
              <w:ind w:left="133" w:hanging="239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Prosoy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57.4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Sig of F.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167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F91086">
            <w:pPr>
              <w:ind w:left="76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Planting Date  (PD)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ns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F91086">
            <w:pPr>
              <w:ind w:left="7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Maturity Group (MG)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F91086">
            <w:pPr>
              <w:ind w:left="76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PD x MG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sz w:val="22"/>
                <w:szCs w:val="22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ns</w:t>
            </w:r>
          </w:p>
        </w:tc>
      </w:tr>
      <w:tr w:rsidR="00F91086" w:rsidRPr="005C198B" w:rsidTr="003D049B">
        <w:trPr>
          <w:trHeight w:val="252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363264">
            <w:pPr>
              <w:ind w:right="257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sz w:val="22"/>
                <w:szCs w:val="22"/>
              </w:rPr>
              <w:t>SE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98B" w:rsidRPr="005C198B" w:rsidRDefault="005C198B" w:rsidP="005C198B">
            <w:pP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</w:pPr>
            <w:r w:rsidRPr="005C198B">
              <w:rPr>
                <w:rFonts w:ascii="Calibri" w:eastAsia="Times New Roman" w:hAnsi="Calibri"/>
                <w:bCs/>
                <w:color w:val="000000"/>
                <w:sz w:val="22"/>
                <w:szCs w:val="22"/>
              </w:rPr>
              <w:t>0.30</w:t>
            </w:r>
          </w:p>
        </w:tc>
      </w:tr>
    </w:tbl>
    <w:p w:rsidR="005C198B" w:rsidRPr="005C198B" w:rsidRDefault="005C198B" w:rsidP="00EA1FCA"/>
    <w:sectPr w:rsidR="005C198B" w:rsidRPr="005C198B" w:rsidSect="00C66A0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91" w:rsidRDefault="00C52F91" w:rsidP="001355C1">
      <w:r>
        <w:separator/>
      </w:r>
    </w:p>
  </w:endnote>
  <w:endnote w:type="continuationSeparator" w:id="0">
    <w:p w:rsidR="00C52F91" w:rsidRDefault="00C52F91" w:rsidP="001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CHF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91" w:rsidRDefault="00C52F91" w:rsidP="001355C1">
      <w:r>
        <w:separator/>
      </w:r>
    </w:p>
  </w:footnote>
  <w:footnote w:type="continuationSeparator" w:id="0">
    <w:p w:rsidR="00C52F91" w:rsidRDefault="00C52F91" w:rsidP="0013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1F"/>
    <w:multiLevelType w:val="hybridMultilevel"/>
    <w:tmpl w:val="7C74E876"/>
    <w:lvl w:ilvl="0" w:tplc="29ACFD50">
      <w:start w:val="1"/>
      <w:numFmt w:val="decimal"/>
      <w:lvlText w:val="(%1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392899"/>
    <w:multiLevelType w:val="hybridMultilevel"/>
    <w:tmpl w:val="FED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624E"/>
    <w:multiLevelType w:val="hybridMultilevel"/>
    <w:tmpl w:val="FED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6B9E"/>
    <w:multiLevelType w:val="hybridMultilevel"/>
    <w:tmpl w:val="5C8E2D38"/>
    <w:lvl w:ilvl="0" w:tplc="22CA1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0"/>
    <w:rsid w:val="00001D51"/>
    <w:rsid w:val="0000604B"/>
    <w:rsid w:val="000070E9"/>
    <w:rsid w:val="00015890"/>
    <w:rsid w:val="00016A63"/>
    <w:rsid w:val="0001780C"/>
    <w:rsid w:val="0002579C"/>
    <w:rsid w:val="00026043"/>
    <w:rsid w:val="000313F0"/>
    <w:rsid w:val="00031A37"/>
    <w:rsid w:val="00033DF1"/>
    <w:rsid w:val="00033FA6"/>
    <w:rsid w:val="0004354B"/>
    <w:rsid w:val="00043BD8"/>
    <w:rsid w:val="0006451C"/>
    <w:rsid w:val="00066195"/>
    <w:rsid w:val="000677A0"/>
    <w:rsid w:val="00074913"/>
    <w:rsid w:val="00074B06"/>
    <w:rsid w:val="00076F0E"/>
    <w:rsid w:val="000827CE"/>
    <w:rsid w:val="000828B8"/>
    <w:rsid w:val="000847CE"/>
    <w:rsid w:val="0008703A"/>
    <w:rsid w:val="00087B95"/>
    <w:rsid w:val="00090557"/>
    <w:rsid w:val="00093465"/>
    <w:rsid w:val="00096A4E"/>
    <w:rsid w:val="000A2D0B"/>
    <w:rsid w:val="000A3E46"/>
    <w:rsid w:val="000A73BE"/>
    <w:rsid w:val="000B188A"/>
    <w:rsid w:val="000C2E99"/>
    <w:rsid w:val="000C5132"/>
    <w:rsid w:val="000C56F8"/>
    <w:rsid w:val="000E14A5"/>
    <w:rsid w:val="000E39D9"/>
    <w:rsid w:val="000E486E"/>
    <w:rsid w:val="000E5850"/>
    <w:rsid w:val="000E62B9"/>
    <w:rsid w:val="000F0641"/>
    <w:rsid w:val="00100DD4"/>
    <w:rsid w:val="00106626"/>
    <w:rsid w:val="00111A7F"/>
    <w:rsid w:val="00111E2F"/>
    <w:rsid w:val="00112810"/>
    <w:rsid w:val="00114AE8"/>
    <w:rsid w:val="00122BAC"/>
    <w:rsid w:val="00130853"/>
    <w:rsid w:val="00131573"/>
    <w:rsid w:val="00134ACD"/>
    <w:rsid w:val="001355C1"/>
    <w:rsid w:val="001375E8"/>
    <w:rsid w:val="00145E5E"/>
    <w:rsid w:val="00146771"/>
    <w:rsid w:val="0015263E"/>
    <w:rsid w:val="001540ED"/>
    <w:rsid w:val="001553C1"/>
    <w:rsid w:val="00155DA8"/>
    <w:rsid w:val="00160FD1"/>
    <w:rsid w:val="00160FE7"/>
    <w:rsid w:val="00163E71"/>
    <w:rsid w:val="00165E0D"/>
    <w:rsid w:val="00165FDA"/>
    <w:rsid w:val="001672DC"/>
    <w:rsid w:val="0017117D"/>
    <w:rsid w:val="0017297B"/>
    <w:rsid w:val="001774AE"/>
    <w:rsid w:val="0018707E"/>
    <w:rsid w:val="001948F7"/>
    <w:rsid w:val="001A1992"/>
    <w:rsid w:val="001A1F2B"/>
    <w:rsid w:val="001A42BB"/>
    <w:rsid w:val="001B3B60"/>
    <w:rsid w:val="001C00FA"/>
    <w:rsid w:val="001C4A6E"/>
    <w:rsid w:val="001D2BE8"/>
    <w:rsid w:val="001D5D0E"/>
    <w:rsid w:val="001E1502"/>
    <w:rsid w:val="001E32FB"/>
    <w:rsid w:val="001E3B34"/>
    <w:rsid w:val="001E68D5"/>
    <w:rsid w:val="001E75E8"/>
    <w:rsid w:val="001E7D5E"/>
    <w:rsid w:val="002003E3"/>
    <w:rsid w:val="00200B21"/>
    <w:rsid w:val="002040CB"/>
    <w:rsid w:val="00211495"/>
    <w:rsid w:val="00213F86"/>
    <w:rsid w:val="002146C7"/>
    <w:rsid w:val="002158AD"/>
    <w:rsid w:val="00215C88"/>
    <w:rsid w:val="0022172A"/>
    <w:rsid w:val="0022202B"/>
    <w:rsid w:val="00222DD1"/>
    <w:rsid w:val="00222F40"/>
    <w:rsid w:val="00225063"/>
    <w:rsid w:val="00237DDC"/>
    <w:rsid w:val="00242A26"/>
    <w:rsid w:val="00244D08"/>
    <w:rsid w:val="00246D7F"/>
    <w:rsid w:val="0024778E"/>
    <w:rsid w:val="0025004D"/>
    <w:rsid w:val="00250D71"/>
    <w:rsid w:val="00257B7F"/>
    <w:rsid w:val="002601D5"/>
    <w:rsid w:val="0026126E"/>
    <w:rsid w:val="0027280E"/>
    <w:rsid w:val="00273D31"/>
    <w:rsid w:val="0027437F"/>
    <w:rsid w:val="002815C2"/>
    <w:rsid w:val="00283E43"/>
    <w:rsid w:val="00297A69"/>
    <w:rsid w:val="002A0F99"/>
    <w:rsid w:val="002A3B4D"/>
    <w:rsid w:val="002A56D1"/>
    <w:rsid w:val="002A6DC0"/>
    <w:rsid w:val="002A73D6"/>
    <w:rsid w:val="002A7FAE"/>
    <w:rsid w:val="002B262F"/>
    <w:rsid w:val="002B6283"/>
    <w:rsid w:val="002C461A"/>
    <w:rsid w:val="002C6428"/>
    <w:rsid w:val="002C718A"/>
    <w:rsid w:val="002D3037"/>
    <w:rsid w:val="002D44ED"/>
    <w:rsid w:val="002D7873"/>
    <w:rsid w:val="002E3526"/>
    <w:rsid w:val="002F269E"/>
    <w:rsid w:val="002F4357"/>
    <w:rsid w:val="002F6AD8"/>
    <w:rsid w:val="00300BB4"/>
    <w:rsid w:val="003027C0"/>
    <w:rsid w:val="00304AC8"/>
    <w:rsid w:val="00304C56"/>
    <w:rsid w:val="00321540"/>
    <w:rsid w:val="00323375"/>
    <w:rsid w:val="00324C29"/>
    <w:rsid w:val="00330D27"/>
    <w:rsid w:val="00332872"/>
    <w:rsid w:val="0033345D"/>
    <w:rsid w:val="00337004"/>
    <w:rsid w:val="00344CF1"/>
    <w:rsid w:val="00347C2F"/>
    <w:rsid w:val="00354EE9"/>
    <w:rsid w:val="00361754"/>
    <w:rsid w:val="00363264"/>
    <w:rsid w:val="00371298"/>
    <w:rsid w:val="00371456"/>
    <w:rsid w:val="00374B03"/>
    <w:rsid w:val="0037595B"/>
    <w:rsid w:val="003778B5"/>
    <w:rsid w:val="00377C2C"/>
    <w:rsid w:val="00381859"/>
    <w:rsid w:val="00383E5F"/>
    <w:rsid w:val="00385240"/>
    <w:rsid w:val="003975C0"/>
    <w:rsid w:val="003A1912"/>
    <w:rsid w:val="003A4D02"/>
    <w:rsid w:val="003A742E"/>
    <w:rsid w:val="003B0F25"/>
    <w:rsid w:val="003B1734"/>
    <w:rsid w:val="003B2174"/>
    <w:rsid w:val="003B2809"/>
    <w:rsid w:val="003B7249"/>
    <w:rsid w:val="003B7362"/>
    <w:rsid w:val="003B7AD1"/>
    <w:rsid w:val="003C38C2"/>
    <w:rsid w:val="003C59E1"/>
    <w:rsid w:val="003C6195"/>
    <w:rsid w:val="003D049B"/>
    <w:rsid w:val="003D5AE5"/>
    <w:rsid w:val="003E05C2"/>
    <w:rsid w:val="003E1D15"/>
    <w:rsid w:val="003F3DC8"/>
    <w:rsid w:val="00401154"/>
    <w:rsid w:val="0040134F"/>
    <w:rsid w:val="004054A4"/>
    <w:rsid w:val="00405667"/>
    <w:rsid w:val="0041272F"/>
    <w:rsid w:val="00413DD7"/>
    <w:rsid w:val="0042394F"/>
    <w:rsid w:val="00423C5D"/>
    <w:rsid w:val="004266D2"/>
    <w:rsid w:val="004271B1"/>
    <w:rsid w:val="00431E4F"/>
    <w:rsid w:val="004343CD"/>
    <w:rsid w:val="0043455D"/>
    <w:rsid w:val="004351FB"/>
    <w:rsid w:val="004356A7"/>
    <w:rsid w:val="004368E6"/>
    <w:rsid w:val="00447EFD"/>
    <w:rsid w:val="004507D3"/>
    <w:rsid w:val="00452392"/>
    <w:rsid w:val="00453FD2"/>
    <w:rsid w:val="00457C2B"/>
    <w:rsid w:val="00463E43"/>
    <w:rsid w:val="00464B10"/>
    <w:rsid w:val="00466F37"/>
    <w:rsid w:val="00480174"/>
    <w:rsid w:val="00481906"/>
    <w:rsid w:val="00483635"/>
    <w:rsid w:val="004860DE"/>
    <w:rsid w:val="00487752"/>
    <w:rsid w:val="00487E2B"/>
    <w:rsid w:val="0049243A"/>
    <w:rsid w:val="00493246"/>
    <w:rsid w:val="00497CF7"/>
    <w:rsid w:val="004A0D18"/>
    <w:rsid w:val="004A1919"/>
    <w:rsid w:val="004A1A01"/>
    <w:rsid w:val="004A4CE0"/>
    <w:rsid w:val="004A6D26"/>
    <w:rsid w:val="004B33C4"/>
    <w:rsid w:val="004B5F08"/>
    <w:rsid w:val="004C3041"/>
    <w:rsid w:val="004C43A4"/>
    <w:rsid w:val="004C7CB3"/>
    <w:rsid w:val="004D058A"/>
    <w:rsid w:val="004D0E2F"/>
    <w:rsid w:val="004D1F0B"/>
    <w:rsid w:val="004D47CE"/>
    <w:rsid w:val="004E60B1"/>
    <w:rsid w:val="004F1C4B"/>
    <w:rsid w:val="004F540C"/>
    <w:rsid w:val="00522C28"/>
    <w:rsid w:val="00525170"/>
    <w:rsid w:val="0053191C"/>
    <w:rsid w:val="0053346D"/>
    <w:rsid w:val="0053497E"/>
    <w:rsid w:val="00535E36"/>
    <w:rsid w:val="005371CA"/>
    <w:rsid w:val="00542B2F"/>
    <w:rsid w:val="00542D3B"/>
    <w:rsid w:val="00544A2B"/>
    <w:rsid w:val="00546A95"/>
    <w:rsid w:val="00554339"/>
    <w:rsid w:val="00557D53"/>
    <w:rsid w:val="005638CA"/>
    <w:rsid w:val="005723AC"/>
    <w:rsid w:val="00574B95"/>
    <w:rsid w:val="00576E5A"/>
    <w:rsid w:val="00597AF5"/>
    <w:rsid w:val="00597CA9"/>
    <w:rsid w:val="005A3A7D"/>
    <w:rsid w:val="005A613B"/>
    <w:rsid w:val="005B2E0E"/>
    <w:rsid w:val="005B4FEC"/>
    <w:rsid w:val="005B673E"/>
    <w:rsid w:val="005B6B14"/>
    <w:rsid w:val="005C198B"/>
    <w:rsid w:val="005C2414"/>
    <w:rsid w:val="005C2C96"/>
    <w:rsid w:val="005C56B2"/>
    <w:rsid w:val="005D13AA"/>
    <w:rsid w:val="005D50D6"/>
    <w:rsid w:val="005D61BF"/>
    <w:rsid w:val="005D6989"/>
    <w:rsid w:val="005E05B7"/>
    <w:rsid w:val="005E07B0"/>
    <w:rsid w:val="005E08DE"/>
    <w:rsid w:val="005E3226"/>
    <w:rsid w:val="005E65E9"/>
    <w:rsid w:val="005F269F"/>
    <w:rsid w:val="005F57A9"/>
    <w:rsid w:val="005F5D45"/>
    <w:rsid w:val="005F6416"/>
    <w:rsid w:val="00602248"/>
    <w:rsid w:val="006069E3"/>
    <w:rsid w:val="00607B55"/>
    <w:rsid w:val="00610530"/>
    <w:rsid w:val="0061216F"/>
    <w:rsid w:val="00612C89"/>
    <w:rsid w:val="006130E1"/>
    <w:rsid w:val="0061494F"/>
    <w:rsid w:val="00617FAE"/>
    <w:rsid w:val="0062144D"/>
    <w:rsid w:val="006242F2"/>
    <w:rsid w:val="00624CDC"/>
    <w:rsid w:val="006254A9"/>
    <w:rsid w:val="00625CFF"/>
    <w:rsid w:val="00630F7B"/>
    <w:rsid w:val="00635899"/>
    <w:rsid w:val="00636DB2"/>
    <w:rsid w:val="00637110"/>
    <w:rsid w:val="00641FEF"/>
    <w:rsid w:val="006422B0"/>
    <w:rsid w:val="00647875"/>
    <w:rsid w:val="00651FC0"/>
    <w:rsid w:val="00653310"/>
    <w:rsid w:val="00654D99"/>
    <w:rsid w:val="006604E4"/>
    <w:rsid w:val="00660EB5"/>
    <w:rsid w:val="006620E3"/>
    <w:rsid w:val="0066311C"/>
    <w:rsid w:val="00663BAF"/>
    <w:rsid w:val="006702D4"/>
    <w:rsid w:val="006723AB"/>
    <w:rsid w:val="00673459"/>
    <w:rsid w:val="0067402B"/>
    <w:rsid w:val="006745FF"/>
    <w:rsid w:val="0067778E"/>
    <w:rsid w:val="00680AF0"/>
    <w:rsid w:val="00681391"/>
    <w:rsid w:val="00681881"/>
    <w:rsid w:val="006915AC"/>
    <w:rsid w:val="006966D6"/>
    <w:rsid w:val="006A03AA"/>
    <w:rsid w:val="006A0531"/>
    <w:rsid w:val="006A30AA"/>
    <w:rsid w:val="006B0EF5"/>
    <w:rsid w:val="006B78E0"/>
    <w:rsid w:val="006C282F"/>
    <w:rsid w:val="006D08D6"/>
    <w:rsid w:val="006D4008"/>
    <w:rsid w:val="006D4E5E"/>
    <w:rsid w:val="006D5FC5"/>
    <w:rsid w:val="006E34A7"/>
    <w:rsid w:val="007072CA"/>
    <w:rsid w:val="007074B0"/>
    <w:rsid w:val="00707DD7"/>
    <w:rsid w:val="007126C3"/>
    <w:rsid w:val="00724CBE"/>
    <w:rsid w:val="00725E67"/>
    <w:rsid w:val="00725F8E"/>
    <w:rsid w:val="007277F6"/>
    <w:rsid w:val="007342D7"/>
    <w:rsid w:val="00734686"/>
    <w:rsid w:val="00734E2E"/>
    <w:rsid w:val="00735767"/>
    <w:rsid w:val="0074493C"/>
    <w:rsid w:val="007471BF"/>
    <w:rsid w:val="00747ABB"/>
    <w:rsid w:val="007530F1"/>
    <w:rsid w:val="007536A3"/>
    <w:rsid w:val="00756BA3"/>
    <w:rsid w:val="00757525"/>
    <w:rsid w:val="0076041A"/>
    <w:rsid w:val="00762DE0"/>
    <w:rsid w:val="0076337E"/>
    <w:rsid w:val="007652B5"/>
    <w:rsid w:val="00765514"/>
    <w:rsid w:val="00776D03"/>
    <w:rsid w:val="00782FA5"/>
    <w:rsid w:val="00786896"/>
    <w:rsid w:val="0078737C"/>
    <w:rsid w:val="0079356B"/>
    <w:rsid w:val="007A2ECF"/>
    <w:rsid w:val="007A536C"/>
    <w:rsid w:val="007B02F4"/>
    <w:rsid w:val="007B0F90"/>
    <w:rsid w:val="007B3D57"/>
    <w:rsid w:val="007B756D"/>
    <w:rsid w:val="007C4361"/>
    <w:rsid w:val="007C50E6"/>
    <w:rsid w:val="007D1021"/>
    <w:rsid w:val="007D1E2F"/>
    <w:rsid w:val="007D279C"/>
    <w:rsid w:val="007E793E"/>
    <w:rsid w:val="007F1902"/>
    <w:rsid w:val="00800521"/>
    <w:rsid w:val="00810F0A"/>
    <w:rsid w:val="00811AD0"/>
    <w:rsid w:val="00812EEF"/>
    <w:rsid w:val="00815AC1"/>
    <w:rsid w:val="00820823"/>
    <w:rsid w:val="0082498D"/>
    <w:rsid w:val="008369D7"/>
    <w:rsid w:val="008372F8"/>
    <w:rsid w:val="00843304"/>
    <w:rsid w:val="008526E8"/>
    <w:rsid w:val="0085605E"/>
    <w:rsid w:val="0086122A"/>
    <w:rsid w:val="0086512A"/>
    <w:rsid w:val="008673FF"/>
    <w:rsid w:val="008712B4"/>
    <w:rsid w:val="008720DB"/>
    <w:rsid w:val="0087335A"/>
    <w:rsid w:val="00873DF1"/>
    <w:rsid w:val="00874C12"/>
    <w:rsid w:val="00883133"/>
    <w:rsid w:val="008841A8"/>
    <w:rsid w:val="00886805"/>
    <w:rsid w:val="00887C9C"/>
    <w:rsid w:val="00897EB7"/>
    <w:rsid w:val="008A04D8"/>
    <w:rsid w:val="008A08CA"/>
    <w:rsid w:val="008A0D97"/>
    <w:rsid w:val="008A2096"/>
    <w:rsid w:val="008A65BF"/>
    <w:rsid w:val="008B19C3"/>
    <w:rsid w:val="008B48B4"/>
    <w:rsid w:val="008B52F2"/>
    <w:rsid w:val="008B7592"/>
    <w:rsid w:val="008C0C78"/>
    <w:rsid w:val="008C1A2D"/>
    <w:rsid w:val="008C46E2"/>
    <w:rsid w:val="008C5D09"/>
    <w:rsid w:val="008D3941"/>
    <w:rsid w:val="008D3E1C"/>
    <w:rsid w:val="008E1443"/>
    <w:rsid w:val="008E63E4"/>
    <w:rsid w:val="008F52B1"/>
    <w:rsid w:val="00905590"/>
    <w:rsid w:val="00922317"/>
    <w:rsid w:val="009316E1"/>
    <w:rsid w:val="009320C9"/>
    <w:rsid w:val="00932B35"/>
    <w:rsid w:val="00935F33"/>
    <w:rsid w:val="00936C8E"/>
    <w:rsid w:val="00940261"/>
    <w:rsid w:val="00943482"/>
    <w:rsid w:val="00943AD2"/>
    <w:rsid w:val="00946670"/>
    <w:rsid w:val="00952B03"/>
    <w:rsid w:val="00955A18"/>
    <w:rsid w:val="0095602B"/>
    <w:rsid w:val="00956C84"/>
    <w:rsid w:val="00961117"/>
    <w:rsid w:val="009623D1"/>
    <w:rsid w:val="00967B13"/>
    <w:rsid w:val="00972CC3"/>
    <w:rsid w:val="0097507A"/>
    <w:rsid w:val="00976752"/>
    <w:rsid w:val="00982394"/>
    <w:rsid w:val="009852D3"/>
    <w:rsid w:val="00993639"/>
    <w:rsid w:val="009A6188"/>
    <w:rsid w:val="009A6546"/>
    <w:rsid w:val="009A7456"/>
    <w:rsid w:val="009B2411"/>
    <w:rsid w:val="009B3A12"/>
    <w:rsid w:val="009B64DE"/>
    <w:rsid w:val="009B702B"/>
    <w:rsid w:val="009B7DC2"/>
    <w:rsid w:val="009C05A6"/>
    <w:rsid w:val="009D1E4E"/>
    <w:rsid w:val="009D5365"/>
    <w:rsid w:val="009D7D13"/>
    <w:rsid w:val="009E5AAC"/>
    <w:rsid w:val="009F02B3"/>
    <w:rsid w:val="009F0404"/>
    <w:rsid w:val="00A008BF"/>
    <w:rsid w:val="00A0463C"/>
    <w:rsid w:val="00A1063E"/>
    <w:rsid w:val="00A110B3"/>
    <w:rsid w:val="00A124C0"/>
    <w:rsid w:val="00A233E9"/>
    <w:rsid w:val="00A2695D"/>
    <w:rsid w:val="00A33DE9"/>
    <w:rsid w:val="00A349AF"/>
    <w:rsid w:val="00A37915"/>
    <w:rsid w:val="00A42189"/>
    <w:rsid w:val="00A44AAC"/>
    <w:rsid w:val="00A4611D"/>
    <w:rsid w:val="00A538A0"/>
    <w:rsid w:val="00A6045E"/>
    <w:rsid w:val="00A70B2E"/>
    <w:rsid w:val="00A71E6F"/>
    <w:rsid w:val="00A72C68"/>
    <w:rsid w:val="00A73CF7"/>
    <w:rsid w:val="00A873FD"/>
    <w:rsid w:val="00A91B12"/>
    <w:rsid w:val="00A92093"/>
    <w:rsid w:val="00A934B8"/>
    <w:rsid w:val="00A935A4"/>
    <w:rsid w:val="00A94991"/>
    <w:rsid w:val="00A95FDA"/>
    <w:rsid w:val="00A97AF0"/>
    <w:rsid w:val="00AA170C"/>
    <w:rsid w:val="00AA403B"/>
    <w:rsid w:val="00AA6D1D"/>
    <w:rsid w:val="00AB285C"/>
    <w:rsid w:val="00AB2943"/>
    <w:rsid w:val="00AB5163"/>
    <w:rsid w:val="00AB5266"/>
    <w:rsid w:val="00AC0336"/>
    <w:rsid w:val="00AC087E"/>
    <w:rsid w:val="00AC1813"/>
    <w:rsid w:val="00AC3562"/>
    <w:rsid w:val="00AC38F4"/>
    <w:rsid w:val="00AC4CB6"/>
    <w:rsid w:val="00AC71CD"/>
    <w:rsid w:val="00AD660F"/>
    <w:rsid w:val="00AE1AEB"/>
    <w:rsid w:val="00AF0B72"/>
    <w:rsid w:val="00B1100A"/>
    <w:rsid w:val="00B149CF"/>
    <w:rsid w:val="00B154A1"/>
    <w:rsid w:val="00B16001"/>
    <w:rsid w:val="00B237F9"/>
    <w:rsid w:val="00B240DF"/>
    <w:rsid w:val="00B35D3A"/>
    <w:rsid w:val="00B40B6D"/>
    <w:rsid w:val="00B43834"/>
    <w:rsid w:val="00B4684C"/>
    <w:rsid w:val="00B476E4"/>
    <w:rsid w:val="00B549C7"/>
    <w:rsid w:val="00B6062B"/>
    <w:rsid w:val="00B608F0"/>
    <w:rsid w:val="00B624C6"/>
    <w:rsid w:val="00B63897"/>
    <w:rsid w:val="00B71724"/>
    <w:rsid w:val="00B76F9A"/>
    <w:rsid w:val="00B775A6"/>
    <w:rsid w:val="00B80BE2"/>
    <w:rsid w:val="00B81422"/>
    <w:rsid w:val="00B9505C"/>
    <w:rsid w:val="00B96962"/>
    <w:rsid w:val="00B97E56"/>
    <w:rsid w:val="00BA2D68"/>
    <w:rsid w:val="00BA4D22"/>
    <w:rsid w:val="00BA512B"/>
    <w:rsid w:val="00BA67E2"/>
    <w:rsid w:val="00BB0076"/>
    <w:rsid w:val="00BB3E1D"/>
    <w:rsid w:val="00BB44B9"/>
    <w:rsid w:val="00BC0C81"/>
    <w:rsid w:val="00BD2D49"/>
    <w:rsid w:val="00BD7B12"/>
    <w:rsid w:val="00BD7C8B"/>
    <w:rsid w:val="00BE03A1"/>
    <w:rsid w:val="00BE2F45"/>
    <w:rsid w:val="00BF179B"/>
    <w:rsid w:val="00BF2300"/>
    <w:rsid w:val="00BF28AA"/>
    <w:rsid w:val="00BF4117"/>
    <w:rsid w:val="00C00459"/>
    <w:rsid w:val="00C03667"/>
    <w:rsid w:val="00C107E1"/>
    <w:rsid w:val="00C128E8"/>
    <w:rsid w:val="00C16392"/>
    <w:rsid w:val="00C2696B"/>
    <w:rsid w:val="00C27358"/>
    <w:rsid w:val="00C31BA2"/>
    <w:rsid w:val="00C3260F"/>
    <w:rsid w:val="00C34360"/>
    <w:rsid w:val="00C3704B"/>
    <w:rsid w:val="00C4141E"/>
    <w:rsid w:val="00C42BCD"/>
    <w:rsid w:val="00C43D15"/>
    <w:rsid w:val="00C458F5"/>
    <w:rsid w:val="00C4598C"/>
    <w:rsid w:val="00C46A6B"/>
    <w:rsid w:val="00C52F91"/>
    <w:rsid w:val="00C65359"/>
    <w:rsid w:val="00C66A07"/>
    <w:rsid w:val="00C72A3F"/>
    <w:rsid w:val="00C75819"/>
    <w:rsid w:val="00C850FE"/>
    <w:rsid w:val="00C8769F"/>
    <w:rsid w:val="00C9084F"/>
    <w:rsid w:val="00C92222"/>
    <w:rsid w:val="00C92C99"/>
    <w:rsid w:val="00C95006"/>
    <w:rsid w:val="00C959C3"/>
    <w:rsid w:val="00C968AF"/>
    <w:rsid w:val="00CA11CD"/>
    <w:rsid w:val="00CA41C3"/>
    <w:rsid w:val="00CB0299"/>
    <w:rsid w:val="00CB2D39"/>
    <w:rsid w:val="00CC06B5"/>
    <w:rsid w:val="00CC36E8"/>
    <w:rsid w:val="00CD0025"/>
    <w:rsid w:val="00CD7101"/>
    <w:rsid w:val="00CE0DA4"/>
    <w:rsid w:val="00CE7ADA"/>
    <w:rsid w:val="00CF240D"/>
    <w:rsid w:val="00CF51EF"/>
    <w:rsid w:val="00CF54F8"/>
    <w:rsid w:val="00CF64D6"/>
    <w:rsid w:val="00D00013"/>
    <w:rsid w:val="00D00F40"/>
    <w:rsid w:val="00D0316E"/>
    <w:rsid w:val="00D058FE"/>
    <w:rsid w:val="00D06000"/>
    <w:rsid w:val="00D1296F"/>
    <w:rsid w:val="00D1374B"/>
    <w:rsid w:val="00D143FC"/>
    <w:rsid w:val="00D15862"/>
    <w:rsid w:val="00D16AA2"/>
    <w:rsid w:val="00D3212A"/>
    <w:rsid w:val="00D37F01"/>
    <w:rsid w:val="00D4459B"/>
    <w:rsid w:val="00D44DA2"/>
    <w:rsid w:val="00D44F3C"/>
    <w:rsid w:val="00D536EE"/>
    <w:rsid w:val="00D5378D"/>
    <w:rsid w:val="00D55682"/>
    <w:rsid w:val="00D610E2"/>
    <w:rsid w:val="00D64173"/>
    <w:rsid w:val="00D83F3D"/>
    <w:rsid w:val="00D9436E"/>
    <w:rsid w:val="00DA1117"/>
    <w:rsid w:val="00DA2E87"/>
    <w:rsid w:val="00DA6425"/>
    <w:rsid w:val="00DB0AC3"/>
    <w:rsid w:val="00DB0EA8"/>
    <w:rsid w:val="00DB45A2"/>
    <w:rsid w:val="00DB4FCB"/>
    <w:rsid w:val="00DB64FF"/>
    <w:rsid w:val="00DC2671"/>
    <w:rsid w:val="00DC2908"/>
    <w:rsid w:val="00DC3E61"/>
    <w:rsid w:val="00DC439D"/>
    <w:rsid w:val="00DC6E80"/>
    <w:rsid w:val="00DC7097"/>
    <w:rsid w:val="00DC7E98"/>
    <w:rsid w:val="00DD02F9"/>
    <w:rsid w:val="00DD1320"/>
    <w:rsid w:val="00DD1951"/>
    <w:rsid w:val="00DD421D"/>
    <w:rsid w:val="00DD4C07"/>
    <w:rsid w:val="00DE0CC4"/>
    <w:rsid w:val="00DE101A"/>
    <w:rsid w:val="00DE453E"/>
    <w:rsid w:val="00DE4754"/>
    <w:rsid w:val="00DF35F5"/>
    <w:rsid w:val="00DF4748"/>
    <w:rsid w:val="00DF5943"/>
    <w:rsid w:val="00DF7CB4"/>
    <w:rsid w:val="00E07D6E"/>
    <w:rsid w:val="00E10D2A"/>
    <w:rsid w:val="00E10D84"/>
    <w:rsid w:val="00E1778D"/>
    <w:rsid w:val="00E204F4"/>
    <w:rsid w:val="00E20ACC"/>
    <w:rsid w:val="00E20CD6"/>
    <w:rsid w:val="00E20D75"/>
    <w:rsid w:val="00E231DC"/>
    <w:rsid w:val="00E268F9"/>
    <w:rsid w:val="00E334A6"/>
    <w:rsid w:val="00E336B7"/>
    <w:rsid w:val="00E402C7"/>
    <w:rsid w:val="00E47338"/>
    <w:rsid w:val="00E5121B"/>
    <w:rsid w:val="00E51FAB"/>
    <w:rsid w:val="00E52244"/>
    <w:rsid w:val="00E52EAE"/>
    <w:rsid w:val="00E56D5D"/>
    <w:rsid w:val="00E5713D"/>
    <w:rsid w:val="00E57BFA"/>
    <w:rsid w:val="00E60DF8"/>
    <w:rsid w:val="00E60F38"/>
    <w:rsid w:val="00E630DE"/>
    <w:rsid w:val="00E64A36"/>
    <w:rsid w:val="00E64B0D"/>
    <w:rsid w:val="00E65398"/>
    <w:rsid w:val="00E66248"/>
    <w:rsid w:val="00E66D7A"/>
    <w:rsid w:val="00E711E3"/>
    <w:rsid w:val="00E719F0"/>
    <w:rsid w:val="00E73A8F"/>
    <w:rsid w:val="00E74BD4"/>
    <w:rsid w:val="00E74D0C"/>
    <w:rsid w:val="00E74F8B"/>
    <w:rsid w:val="00E85418"/>
    <w:rsid w:val="00E86E59"/>
    <w:rsid w:val="00E87E06"/>
    <w:rsid w:val="00EA129C"/>
    <w:rsid w:val="00EA1FCA"/>
    <w:rsid w:val="00EA43FD"/>
    <w:rsid w:val="00EB2EC8"/>
    <w:rsid w:val="00ED243E"/>
    <w:rsid w:val="00ED3E8C"/>
    <w:rsid w:val="00ED6AFA"/>
    <w:rsid w:val="00EE1358"/>
    <w:rsid w:val="00EE7563"/>
    <w:rsid w:val="00EF65B6"/>
    <w:rsid w:val="00F00152"/>
    <w:rsid w:val="00F00DD0"/>
    <w:rsid w:val="00F02328"/>
    <w:rsid w:val="00F02AEE"/>
    <w:rsid w:val="00F02BA5"/>
    <w:rsid w:val="00F059E2"/>
    <w:rsid w:val="00F13A37"/>
    <w:rsid w:val="00F14E87"/>
    <w:rsid w:val="00F15EFC"/>
    <w:rsid w:val="00F2043A"/>
    <w:rsid w:val="00F237B0"/>
    <w:rsid w:val="00F35154"/>
    <w:rsid w:val="00F376EA"/>
    <w:rsid w:val="00F403BD"/>
    <w:rsid w:val="00F429F3"/>
    <w:rsid w:val="00F4564B"/>
    <w:rsid w:val="00F51BDF"/>
    <w:rsid w:val="00F54076"/>
    <w:rsid w:val="00F63DA5"/>
    <w:rsid w:val="00F64E87"/>
    <w:rsid w:val="00F65BFF"/>
    <w:rsid w:val="00F700EC"/>
    <w:rsid w:val="00F71B65"/>
    <w:rsid w:val="00F7312C"/>
    <w:rsid w:val="00F76D07"/>
    <w:rsid w:val="00F77F7B"/>
    <w:rsid w:val="00F84B66"/>
    <w:rsid w:val="00F87351"/>
    <w:rsid w:val="00F91086"/>
    <w:rsid w:val="00F937FF"/>
    <w:rsid w:val="00F95F90"/>
    <w:rsid w:val="00FA0DA4"/>
    <w:rsid w:val="00FA1A83"/>
    <w:rsid w:val="00FA33C0"/>
    <w:rsid w:val="00FA428D"/>
    <w:rsid w:val="00FA5351"/>
    <w:rsid w:val="00FA58FB"/>
    <w:rsid w:val="00FB0EEB"/>
    <w:rsid w:val="00FB1431"/>
    <w:rsid w:val="00FB18BC"/>
    <w:rsid w:val="00FB203A"/>
    <w:rsid w:val="00FB3690"/>
    <w:rsid w:val="00FB4BCC"/>
    <w:rsid w:val="00FB5276"/>
    <w:rsid w:val="00FC1D48"/>
    <w:rsid w:val="00FC2BB8"/>
    <w:rsid w:val="00FC3000"/>
    <w:rsid w:val="00FD02D4"/>
    <w:rsid w:val="00FD11E8"/>
    <w:rsid w:val="00FD4913"/>
    <w:rsid w:val="00FD5BB6"/>
    <w:rsid w:val="00FD66C1"/>
    <w:rsid w:val="00FD703F"/>
    <w:rsid w:val="00FD76D1"/>
    <w:rsid w:val="00FE0D57"/>
    <w:rsid w:val="00FE4075"/>
    <w:rsid w:val="00FE7224"/>
    <w:rsid w:val="00FF030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11CFF-F4B9-48FD-B458-ACF50E18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60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42F2"/>
    <w:rPr>
      <w:i/>
      <w:iCs/>
    </w:rPr>
  </w:style>
  <w:style w:type="paragraph" w:styleId="ListParagraph">
    <w:name w:val="List Paragraph"/>
    <w:basedOn w:val="Normal"/>
    <w:uiPriority w:val="34"/>
    <w:qFormat/>
    <w:rsid w:val="004D1F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61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12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81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2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5C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02F4"/>
    <w:pPr>
      <w:autoSpaceDE w:val="0"/>
      <w:autoSpaceDN w:val="0"/>
      <w:adjustRightInd w:val="0"/>
      <w:spacing w:after="0" w:line="240" w:lineRule="auto"/>
    </w:pPr>
    <w:rPr>
      <w:rFonts w:ascii="APCHFF+Arial,Bold" w:hAnsi="APCHFF+Arial,Bold" w:cs="APCHFF+Arial,Bold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058FE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79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72341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446666"/>
                                                <w:right w:val="dotted" w:sz="6" w:space="11" w:color="BBBBBB"/>
                                              </w:divBdr>
                                              <w:divsChild>
                                                <w:div w:id="13067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asper.Teboh\Documents\2015%20Projects\Soybeans\Soybean%20Council\Copy%20of%20Soybean%20Planting%20Date%20-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asper.Teboh\Documents\2015%20Projects\Soybeans\Soybean%20Council\soybean%20planting%20date%20treatments%20976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Fig 1. Effect of planting dates on yields of three maturity classes of soybeans at Hettinger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1114872086772286"/>
          <c:y val="3.3579460155029237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57943058322529"/>
          <c:y val="0.23128404669260699"/>
          <c:w val="0.69949277424659262"/>
          <c:h val="0.53894788443273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'Summary '!$P$52</c:f>
              <c:strCache>
                <c:ptCount val="1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3A-41CA-8621-96B575824F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3A-41CA-8621-96B575824F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3A-41CA-8621-96B575824F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3A-41CA-8621-96B575824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'Summary '!$O$54:$O$57</c:f>
              <c:numCache>
                <c:formatCode>[$-409]d\-mmm;@</c:formatCode>
                <c:ptCount val="4"/>
                <c:pt idx="0">
                  <c:v>42129</c:v>
                </c:pt>
                <c:pt idx="1">
                  <c:v>42137</c:v>
                </c:pt>
                <c:pt idx="2">
                  <c:v>42143</c:v>
                </c:pt>
                <c:pt idx="3">
                  <c:v>42151</c:v>
                </c:pt>
              </c:numCache>
            </c:numRef>
          </c:cat>
          <c:val>
            <c:numRef>
              <c:f>'Summary '!$P$54:$P$57</c:f>
              <c:numCache>
                <c:formatCode>0.0</c:formatCode>
                <c:ptCount val="4"/>
                <c:pt idx="0">
                  <c:v>29.8</c:v>
                </c:pt>
                <c:pt idx="1">
                  <c:v>25.9</c:v>
                </c:pt>
                <c:pt idx="2">
                  <c:v>35.1</c:v>
                </c:pt>
                <c:pt idx="3">
                  <c:v>29.3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A4-4793-ADAA-42B399FDC244}"/>
            </c:ext>
          </c:extLst>
        </c:ser>
        <c:ser>
          <c:idx val="1"/>
          <c:order val="1"/>
          <c:tx>
            <c:strRef>
              <c:f>'Summary '!$Q$52</c:f>
              <c:strCache>
                <c:ptCount val="1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3A-41CA-8621-96B575824F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3A-41CA-8621-96B575824F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3A-41CA-8621-96B575824F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3A-41CA-8621-96B575824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'Summary '!$O$54:$O$57</c:f>
              <c:numCache>
                <c:formatCode>[$-409]d\-mmm;@</c:formatCode>
                <c:ptCount val="4"/>
                <c:pt idx="0">
                  <c:v>42129</c:v>
                </c:pt>
                <c:pt idx="1">
                  <c:v>42137</c:v>
                </c:pt>
                <c:pt idx="2">
                  <c:v>42143</c:v>
                </c:pt>
                <c:pt idx="3">
                  <c:v>42151</c:v>
                </c:pt>
              </c:numCache>
            </c:numRef>
          </c:cat>
          <c:val>
            <c:numRef>
              <c:f>'Summary '!$Q$54:$Q$57</c:f>
              <c:numCache>
                <c:formatCode>0.0</c:formatCode>
                <c:ptCount val="4"/>
                <c:pt idx="0">
                  <c:v>22.6</c:v>
                </c:pt>
                <c:pt idx="1">
                  <c:v>21.4</c:v>
                </c:pt>
                <c:pt idx="2">
                  <c:v>33.4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A4-4793-ADAA-42B399FDC244}"/>
            </c:ext>
          </c:extLst>
        </c:ser>
        <c:ser>
          <c:idx val="2"/>
          <c:order val="2"/>
          <c:tx>
            <c:strRef>
              <c:f>'Summary '!$R$52</c:f>
              <c:strCache>
                <c:ptCount val="1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3A-41CA-8621-96B575824F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3A-41CA-8621-96B575824F6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3A-41CA-8621-96B575824F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3A-41CA-8621-96B575824F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'Summary '!$O$54:$O$57</c:f>
              <c:numCache>
                <c:formatCode>[$-409]d\-mmm;@</c:formatCode>
                <c:ptCount val="4"/>
                <c:pt idx="0">
                  <c:v>42129</c:v>
                </c:pt>
                <c:pt idx="1">
                  <c:v>42137</c:v>
                </c:pt>
                <c:pt idx="2">
                  <c:v>42143</c:v>
                </c:pt>
                <c:pt idx="3">
                  <c:v>42151</c:v>
                </c:pt>
              </c:numCache>
            </c:numRef>
          </c:cat>
          <c:val>
            <c:numRef>
              <c:f>'Summary '!$R$54:$R$57</c:f>
              <c:numCache>
                <c:formatCode>0.0</c:formatCode>
                <c:ptCount val="4"/>
                <c:pt idx="0">
                  <c:v>36.700000000000003</c:v>
                </c:pt>
                <c:pt idx="1">
                  <c:v>35.700000000000003</c:v>
                </c:pt>
                <c:pt idx="2">
                  <c:v>36.4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A4-4793-ADAA-42B399FDC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44184704"/>
        <c:axId val="44186240"/>
      </c:barChart>
      <c:lineChart>
        <c:grouping val="standard"/>
        <c:varyColors val="0"/>
        <c:ser>
          <c:idx val="3"/>
          <c:order val="3"/>
          <c:tx>
            <c:strRef>
              <c:f>'Summary '!$S$52</c:f>
              <c:strCache>
                <c:ptCount val="1"/>
                <c:pt idx="0">
                  <c:v>Mean</c:v>
                </c:pt>
              </c:strCache>
            </c:strRef>
          </c:tx>
          <c:spPr>
            <a:ln w="15875" cap="rnd">
              <a:solidFill>
                <a:sysClr val="windowText" lastClr="000000"/>
              </a:solidFill>
              <a:prstDash val="sysDash"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'Summary '!$O$54:$O$57</c:f>
              <c:numCache>
                <c:formatCode>[$-409]d\-mmm;@</c:formatCode>
                <c:ptCount val="4"/>
                <c:pt idx="0">
                  <c:v>42129</c:v>
                </c:pt>
                <c:pt idx="1">
                  <c:v>42137</c:v>
                </c:pt>
                <c:pt idx="2">
                  <c:v>42143</c:v>
                </c:pt>
                <c:pt idx="3">
                  <c:v>42151</c:v>
                </c:pt>
              </c:numCache>
            </c:numRef>
          </c:cat>
          <c:val>
            <c:numRef>
              <c:f>'Summary '!$S$54:$S$57</c:f>
              <c:numCache>
                <c:formatCode>0.0</c:formatCode>
                <c:ptCount val="4"/>
                <c:pt idx="0">
                  <c:v>30.9</c:v>
                </c:pt>
                <c:pt idx="1">
                  <c:v>30.9</c:v>
                </c:pt>
                <c:pt idx="2">
                  <c:v>30.9</c:v>
                </c:pt>
                <c:pt idx="3">
                  <c:v>30.9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A4-4793-ADAA-42B399FDC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84704"/>
        <c:axId val="44186240"/>
      </c:lineChart>
      <c:catAx>
        <c:axId val="44184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/>
                  <a:t>Soybean planting date</a:t>
                </a:r>
              </a:p>
            </c:rich>
          </c:tx>
          <c:layout>
            <c:manualLayout>
              <c:xMode val="edge"/>
              <c:yMode val="edge"/>
              <c:x val="0.32109224298769884"/>
              <c:y val="0.901083979288581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d\-m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86240"/>
        <c:crossesAt val="0"/>
        <c:auto val="0"/>
        <c:lblAlgn val="ctr"/>
        <c:lblOffset val="100"/>
        <c:noMultiLvlLbl val="0"/>
      </c:catAx>
      <c:valAx>
        <c:axId val="4418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(bu/a)</a:t>
                </a:r>
              </a:p>
            </c:rich>
          </c:tx>
          <c:layout>
            <c:manualLayout>
              <c:xMode val="edge"/>
              <c:yMode val="edge"/>
              <c:x val="8.1495535949572574E-3"/>
              <c:y val="0.36914284547116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8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820742286732219"/>
          <c:y val="0.30145817375940848"/>
          <c:w val="0.16030547386395974"/>
          <c:h val="0.40491028115648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Fig. 2. Soybean yields of four maturity groups planted on different dates in Carrington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0.10008526767843805"/>
          <c:y val="1.224771667084176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23742618830414"/>
          <c:y val="0.21024163682033298"/>
          <c:w val="0.72619351208477656"/>
          <c:h val="0.57141894773901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'CREC Graph'!$AQ$36:$AQ$37</c:f>
              <c:strCache>
                <c:ptCount val="2"/>
                <c:pt idx="0">
                  <c:v>0.2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4F-4D4D-B73B-51FD1694E3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4F-4D4D-B73B-51FD1694E3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A4F-4D4D-B73B-51FD1694E3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A4F-4D4D-B73B-51FD1694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'CREC Graph'!$AP$38:$AP$41</c:f>
              <c:numCache>
                <c:formatCode>d\-mmm</c:formatCode>
                <c:ptCount val="4"/>
                <c:pt idx="0">
                  <c:v>42129</c:v>
                </c:pt>
                <c:pt idx="1">
                  <c:v>42144</c:v>
                </c:pt>
                <c:pt idx="2">
                  <c:v>42156</c:v>
                </c:pt>
                <c:pt idx="3">
                  <c:v>42171</c:v>
                </c:pt>
              </c:numCache>
            </c:numRef>
          </c:cat>
          <c:val>
            <c:numRef>
              <c:f>'CREC Graph'!$AQ$38:$AQ$41</c:f>
              <c:numCache>
                <c:formatCode>0.0</c:formatCode>
                <c:ptCount val="4"/>
                <c:pt idx="0">
                  <c:v>42.776590549663801</c:v>
                </c:pt>
                <c:pt idx="1">
                  <c:v>37.23069064851078</c:v>
                </c:pt>
                <c:pt idx="2">
                  <c:v>41.324088635057478</c:v>
                </c:pt>
                <c:pt idx="3">
                  <c:v>40.093268787355605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F-4D4D-B73B-51FD1694E360}"/>
            </c:ext>
          </c:extLst>
        </c:ser>
        <c:ser>
          <c:idx val="1"/>
          <c:order val="1"/>
          <c:tx>
            <c:strRef>
              <c:f>'CREC Graph'!$AR$36:$AR$37</c:f>
              <c:strCache>
                <c:ptCount val="2"/>
                <c:pt idx="0">
                  <c:v>0.4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4F-4D4D-B73B-51FD1694E3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4F-4D4D-B73B-51FD1694E3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4F-4D4D-B73B-51FD1694E3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A4F-4D4D-B73B-51FD1694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'CREC Graph'!$AP$38:$AP$41</c:f>
              <c:numCache>
                <c:formatCode>d\-mmm</c:formatCode>
                <c:ptCount val="4"/>
                <c:pt idx="0">
                  <c:v>42129</c:v>
                </c:pt>
                <c:pt idx="1">
                  <c:v>42144</c:v>
                </c:pt>
                <c:pt idx="2">
                  <c:v>42156</c:v>
                </c:pt>
                <c:pt idx="3">
                  <c:v>42171</c:v>
                </c:pt>
              </c:numCache>
            </c:numRef>
          </c:cat>
          <c:val>
            <c:numRef>
              <c:f>'CREC Graph'!$AR$38:$AR$41</c:f>
              <c:numCache>
                <c:formatCode>0.0</c:formatCode>
                <c:ptCount val="4"/>
                <c:pt idx="0">
                  <c:v>40.998387410086217</c:v>
                </c:pt>
                <c:pt idx="1">
                  <c:v>34.047901658825438</c:v>
                </c:pt>
                <c:pt idx="2">
                  <c:v>40.707014712643669</c:v>
                </c:pt>
                <c:pt idx="3">
                  <c:v>44.560572624206898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4F-4D4D-B73B-51FD1694E360}"/>
            </c:ext>
          </c:extLst>
        </c:ser>
        <c:ser>
          <c:idx val="2"/>
          <c:order val="2"/>
          <c:tx>
            <c:strRef>
              <c:f>'CREC Graph'!$AS$36:$AS$37</c:f>
              <c:strCache>
                <c:ptCount val="2"/>
                <c:pt idx="0">
                  <c:v>0.6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4F-4D4D-B73B-51FD1694E3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4F-4D4D-B73B-51FD1694E3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4F-4D4D-B73B-51FD1694E3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4F-4D4D-B73B-51FD1694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'CREC Graph'!$AP$38:$AP$41</c:f>
              <c:numCache>
                <c:formatCode>d\-mmm</c:formatCode>
                <c:ptCount val="4"/>
                <c:pt idx="0">
                  <c:v>42129</c:v>
                </c:pt>
                <c:pt idx="1">
                  <c:v>42144</c:v>
                </c:pt>
                <c:pt idx="2">
                  <c:v>42156</c:v>
                </c:pt>
                <c:pt idx="3">
                  <c:v>42171</c:v>
                </c:pt>
              </c:numCache>
            </c:numRef>
          </c:cat>
          <c:val>
            <c:numRef>
              <c:f>'CREC Graph'!$AS$38:$AS$41</c:f>
              <c:numCache>
                <c:formatCode>0.0</c:formatCode>
                <c:ptCount val="4"/>
                <c:pt idx="0">
                  <c:v>50.942862818991387</c:v>
                </c:pt>
                <c:pt idx="1">
                  <c:v>46.236374637536642</c:v>
                </c:pt>
                <c:pt idx="2">
                  <c:v>53.931744482758624</c:v>
                </c:pt>
                <c:pt idx="3">
                  <c:v>43.187431212821124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4F-4D4D-B73B-51FD1694E360}"/>
            </c:ext>
          </c:extLst>
        </c:ser>
        <c:ser>
          <c:idx val="3"/>
          <c:order val="3"/>
          <c:tx>
            <c:strRef>
              <c:f>'CREC Graph'!$AT$36:$AT$37</c:f>
              <c:strCache>
                <c:ptCount val="2"/>
                <c:pt idx="0">
                  <c:v>0.7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 w="15875">
              <a:noFill/>
              <a:prstDash val="sysDash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4F-4D4D-B73B-51FD1694E36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4F-4D4D-B73B-51FD1694E3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A4F-4D4D-B73B-51FD1694E3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A4F-4D4D-B73B-51FD1694E3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'CREC Graph'!$AP$38:$AP$41</c:f>
              <c:numCache>
                <c:formatCode>d\-mmm</c:formatCode>
                <c:ptCount val="4"/>
                <c:pt idx="0">
                  <c:v>42129</c:v>
                </c:pt>
                <c:pt idx="1">
                  <c:v>42144</c:v>
                </c:pt>
                <c:pt idx="2">
                  <c:v>42156</c:v>
                </c:pt>
                <c:pt idx="3">
                  <c:v>42171</c:v>
                </c:pt>
              </c:numCache>
            </c:numRef>
          </c:cat>
          <c:val>
            <c:numRef>
              <c:f>'CREC Graph'!$AT$38:$AT$41</c:f>
              <c:numCache>
                <c:formatCode>0.0</c:formatCode>
                <c:ptCount val="4"/>
                <c:pt idx="0">
                  <c:v>38.252949802043105</c:v>
                </c:pt>
                <c:pt idx="1">
                  <c:v>34.883263628741375</c:v>
                </c:pt>
                <c:pt idx="2">
                  <c:v>45.195043793103444</c:v>
                </c:pt>
                <c:pt idx="3">
                  <c:v>45.277879438403026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4F-4D4D-B73B-51FD1694E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84704"/>
        <c:axId val="44186240"/>
      </c:barChart>
      <c:lineChart>
        <c:grouping val="standard"/>
        <c:varyColors val="0"/>
        <c:ser>
          <c:idx val="4"/>
          <c:order val="4"/>
          <c:tx>
            <c:strRef>
              <c:f>'CREC Graph'!$AU$36:$AU$37</c:f>
              <c:strCache>
                <c:ptCount val="2"/>
                <c:pt idx="0">
                  <c:v>Mean</c:v>
                </c:pt>
              </c:strCache>
            </c:strRef>
          </c:tx>
          <c:spPr>
            <a:ln w="25400" cap="rnd">
              <a:solidFill>
                <a:sysClr val="windowText" lastClr="000000"/>
              </a:solidFill>
              <a:prstDash val="sysDash"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noFill/>
              <a:ln w="9525">
                <a:noFill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numRef>
              <c:f>'CREC Graph'!$AP$38:$AP$41</c:f>
              <c:numCache>
                <c:formatCode>d\-mmm</c:formatCode>
                <c:ptCount val="4"/>
                <c:pt idx="0">
                  <c:v>42129</c:v>
                </c:pt>
                <c:pt idx="1">
                  <c:v>42144</c:v>
                </c:pt>
                <c:pt idx="2">
                  <c:v>42156</c:v>
                </c:pt>
                <c:pt idx="3">
                  <c:v>42171</c:v>
                </c:pt>
              </c:numCache>
            </c:numRef>
          </c:cat>
          <c:val>
            <c:numRef>
              <c:f>'CREC Graph'!$AU$38:$AU$41</c:f>
              <c:numCache>
                <c:formatCode>0.0</c:formatCode>
                <c:ptCount val="4"/>
                <c:pt idx="0">
                  <c:v>42.477879052546783</c:v>
                </c:pt>
                <c:pt idx="1">
                  <c:v>42.477879052546783</c:v>
                </c:pt>
                <c:pt idx="2">
                  <c:v>42.477879052546783</c:v>
                </c:pt>
                <c:pt idx="3">
                  <c:v>42.477879052546783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4F-4D4D-B73B-51FD1694E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116944"/>
        <c:axId val="423114976"/>
      </c:lineChart>
      <c:catAx>
        <c:axId val="44184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Soybean planting date</a:t>
                </a:r>
              </a:p>
            </c:rich>
          </c:tx>
          <c:layout>
            <c:manualLayout>
              <c:xMode val="edge"/>
              <c:yMode val="edge"/>
              <c:x val="0.44565593175357188"/>
              <c:y val="0.899523699907245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[$-409]d\-m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86240"/>
        <c:crosses val="autoZero"/>
        <c:auto val="0"/>
        <c:lblAlgn val="ctr"/>
        <c:lblOffset val="100"/>
        <c:noMultiLvlLbl val="0"/>
      </c:catAx>
      <c:valAx>
        <c:axId val="4418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(bu/a)</a:t>
                </a:r>
              </a:p>
            </c:rich>
          </c:tx>
          <c:layout>
            <c:manualLayout>
              <c:xMode val="edge"/>
              <c:yMode val="edge"/>
              <c:x val="6.0828807034275815E-3"/>
              <c:y val="0.364210259608638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84704"/>
        <c:crosses val="autoZero"/>
        <c:crossBetween val="between"/>
      </c:valAx>
      <c:valAx>
        <c:axId val="423114976"/>
        <c:scaling>
          <c:orientation val="minMax"/>
          <c:max val="60"/>
        </c:scaling>
        <c:delete val="0"/>
        <c:axPos val="r"/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116944"/>
        <c:crosses val="max"/>
        <c:crossBetween val="between"/>
      </c:valAx>
      <c:dateAx>
        <c:axId val="42311694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AB*                             B                           A                                AB</a:t>
                </a:r>
              </a:p>
            </c:rich>
          </c:tx>
          <c:layout>
            <c:manualLayout>
              <c:xMode val="edge"/>
              <c:yMode val="edge"/>
              <c:x val="0.14359087684201954"/>
              <c:y val="0.2874506899508849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d\-mmm" sourceLinked="1"/>
        <c:majorTickMark val="out"/>
        <c:minorTickMark val="none"/>
        <c:tickLblPos val="nextTo"/>
        <c:crossAx val="423114976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671224973878746"/>
          <c:y val="0.32415217229402643"/>
          <c:w val="0.13352530251577124"/>
          <c:h val="0.39499190933033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E653-59AC-45BC-A04F-5C29A23D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Teboh</dc:creator>
  <cp:keywords/>
  <dc:description/>
  <cp:lastModifiedBy>Kendall Nichols</cp:lastModifiedBy>
  <cp:revision>2</cp:revision>
  <cp:lastPrinted>2016-07-25T19:29:00Z</cp:lastPrinted>
  <dcterms:created xsi:type="dcterms:W3CDTF">2016-07-25T19:43:00Z</dcterms:created>
  <dcterms:modified xsi:type="dcterms:W3CDTF">2016-07-25T19:43:00Z</dcterms:modified>
</cp:coreProperties>
</file>