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13" w:rsidRPr="0025340C" w:rsidRDefault="00A14D13" w:rsidP="00A14D13">
      <w:pPr>
        <w:spacing w:after="0" w:line="240" w:lineRule="auto"/>
        <w:ind w:right="584"/>
        <w:jc w:val="center"/>
        <w:rPr>
          <w:rFonts w:ascii="Arial" w:eastAsia="Times New Roman" w:hAnsi="Arial" w:cs="Arial"/>
          <w:b/>
        </w:rPr>
      </w:pPr>
      <w:r w:rsidRPr="0025340C">
        <w:rPr>
          <w:rFonts w:ascii="Arial" w:eastAsia="Times New Roman" w:hAnsi="Arial" w:cs="Arial"/>
          <w:b/>
        </w:rPr>
        <w:t xml:space="preserve">North Dakota Soybean Council </w:t>
      </w:r>
    </w:p>
    <w:p w:rsidR="00697D3F" w:rsidRPr="00697D3F" w:rsidRDefault="00697D3F" w:rsidP="00697D3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97D3F">
        <w:rPr>
          <w:rFonts w:ascii="Arial" w:eastAsia="Times New Roman" w:hAnsi="Arial" w:cs="Arial"/>
          <w:b/>
          <w:i/>
          <w:sz w:val="24"/>
          <w:szCs w:val="24"/>
        </w:rPr>
        <w:t>Project Title</w:t>
      </w:r>
      <w:r w:rsidRPr="00697D3F">
        <w:rPr>
          <w:rFonts w:ascii="Arial" w:eastAsia="Times New Roman" w:hAnsi="Arial" w:cs="Arial"/>
          <w:b/>
          <w:i/>
          <w:sz w:val="28"/>
          <w:szCs w:val="28"/>
        </w:rPr>
        <w:t xml:space="preserve">: </w:t>
      </w:r>
      <w:r w:rsidRPr="00697D3F">
        <w:rPr>
          <w:rFonts w:ascii="Calibri" w:eastAsia="Calibri" w:hAnsi="Calibri" w:cs="Times New Roman"/>
          <w:b/>
          <w:sz w:val="28"/>
          <w:szCs w:val="28"/>
        </w:rPr>
        <w:t xml:space="preserve">Optimization of Novel </w:t>
      </w:r>
      <w:proofErr w:type="spellStart"/>
      <w:r w:rsidRPr="00697D3F">
        <w:rPr>
          <w:rFonts w:ascii="Calibri" w:eastAsia="Calibri" w:hAnsi="Calibri" w:cs="Times New Roman"/>
          <w:b/>
          <w:sz w:val="28"/>
          <w:szCs w:val="28"/>
        </w:rPr>
        <w:t>Soybased</w:t>
      </w:r>
      <w:proofErr w:type="spellEnd"/>
      <w:r w:rsidRPr="00697D3F">
        <w:rPr>
          <w:rFonts w:ascii="Calibri" w:eastAsia="Calibri" w:hAnsi="Calibri" w:cs="Times New Roman"/>
          <w:b/>
          <w:sz w:val="28"/>
          <w:szCs w:val="28"/>
        </w:rPr>
        <w:t xml:space="preserve"> Resin for Commercial Acceptance</w:t>
      </w:r>
    </w:p>
    <w:p w:rsidR="00697D3F" w:rsidRPr="00697D3F" w:rsidRDefault="00697D3F" w:rsidP="00697D3F">
      <w:pPr>
        <w:spacing w:after="0" w:line="240" w:lineRule="auto"/>
        <w:jc w:val="center"/>
        <w:rPr>
          <w:rFonts w:ascii="Arial" w:eastAsia="Times New Roman" w:hAnsi="Arial" w:cs="Arial"/>
          <w:b/>
          <w:i/>
        </w:rPr>
      </w:pPr>
    </w:p>
    <w:p w:rsidR="00697D3F" w:rsidRPr="00697D3F" w:rsidRDefault="00697D3F" w:rsidP="00697D3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97D3F">
        <w:rPr>
          <w:rFonts w:ascii="Arial" w:eastAsia="Times New Roman" w:hAnsi="Arial" w:cs="Arial"/>
        </w:rPr>
        <w:t>PI’s: Dilpreet S Bajwa and Dean C Webster</w:t>
      </w:r>
    </w:p>
    <w:p w:rsidR="00697D3F" w:rsidRDefault="00697D3F" w:rsidP="00697D3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97D3F">
        <w:rPr>
          <w:rFonts w:ascii="Arial" w:eastAsia="Times New Roman" w:hAnsi="Arial" w:cs="Arial"/>
        </w:rPr>
        <w:t>Project Date: July 1, 2016 - December 31, 2017</w:t>
      </w:r>
    </w:p>
    <w:p w:rsidR="00F567BF" w:rsidRPr="00697D3F" w:rsidRDefault="00F567BF" w:rsidP="00697D3F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252B90" w:rsidRPr="002A35CE" w:rsidRDefault="00252B90" w:rsidP="00A14D1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A35CE">
        <w:rPr>
          <w:rFonts w:ascii="Arial" w:hAnsi="Arial" w:cs="Arial"/>
          <w:b/>
          <w:u w:val="single"/>
        </w:rPr>
        <w:t>Technical Summary</w:t>
      </w:r>
    </w:p>
    <w:p w:rsidR="00BE6AA8" w:rsidRPr="00BE6AA8" w:rsidRDefault="00BE6AA8" w:rsidP="00BE6AA8">
      <w:pPr>
        <w:jc w:val="both"/>
        <w:rPr>
          <w:rFonts w:ascii="Arial" w:hAnsi="Arial" w:cs="Arial"/>
        </w:rPr>
      </w:pPr>
      <w:r w:rsidRPr="00BE6AA8">
        <w:rPr>
          <w:rFonts w:ascii="Arial" w:hAnsi="Arial" w:cs="Arial"/>
        </w:rPr>
        <w:t xml:space="preserve">The long term goal of the project is to develop a cost effective </w:t>
      </w:r>
      <w:proofErr w:type="spellStart"/>
      <w:r w:rsidRPr="00BE6AA8">
        <w:rPr>
          <w:rFonts w:ascii="Arial" w:hAnsi="Arial" w:cs="Arial"/>
        </w:rPr>
        <w:t>soybased</w:t>
      </w:r>
      <w:proofErr w:type="spellEnd"/>
      <w:r w:rsidRPr="00BE6AA8">
        <w:rPr>
          <w:rFonts w:ascii="Arial" w:hAnsi="Arial" w:cs="Arial"/>
        </w:rPr>
        <w:t xml:space="preserve"> resin/adhesive system with desirable properties for wood composite products. The primary goal of this project </w:t>
      </w:r>
      <w:r>
        <w:rPr>
          <w:rFonts w:ascii="Arial" w:hAnsi="Arial" w:cs="Arial"/>
        </w:rPr>
        <w:t>was to</w:t>
      </w:r>
      <w:r w:rsidRPr="00BE6AA8">
        <w:rPr>
          <w:rFonts w:ascii="Arial" w:hAnsi="Arial" w:cs="Arial"/>
        </w:rPr>
        <w:t xml:space="preserve"> reduce the curing time of novel </w:t>
      </w:r>
      <w:proofErr w:type="spellStart"/>
      <w:r w:rsidRPr="00BE6AA8">
        <w:rPr>
          <w:rFonts w:ascii="Arial" w:hAnsi="Arial" w:cs="Arial"/>
        </w:rPr>
        <w:t>Epoxidized</w:t>
      </w:r>
      <w:proofErr w:type="spellEnd"/>
      <w:r w:rsidRPr="00BE6AA8">
        <w:rPr>
          <w:rFonts w:ascii="Arial" w:hAnsi="Arial" w:cs="Arial"/>
        </w:rPr>
        <w:t xml:space="preserve"> Sucrose </w:t>
      </w:r>
      <w:proofErr w:type="spellStart"/>
      <w:r w:rsidRPr="00BE6AA8">
        <w:rPr>
          <w:rFonts w:ascii="Arial" w:hAnsi="Arial" w:cs="Arial"/>
        </w:rPr>
        <w:t>Soyate</w:t>
      </w:r>
      <w:proofErr w:type="spellEnd"/>
      <w:r w:rsidRPr="00BE6AA8">
        <w:rPr>
          <w:rFonts w:ascii="Arial" w:hAnsi="Arial" w:cs="Arial"/>
        </w:rPr>
        <w:t xml:space="preserve"> (ESS) technology so it can be easily accepted by wood composite industries.</w:t>
      </w:r>
      <w:r>
        <w:rPr>
          <w:rFonts w:ascii="Arial" w:hAnsi="Arial" w:cs="Arial"/>
        </w:rPr>
        <w:t xml:space="preserve"> The research team from North Dakota State University has shown that ESS can be a safe and effective alternative to commercial formaldehyde based adhesives that are </w:t>
      </w:r>
      <w:r w:rsidRPr="00BE6AA8">
        <w:rPr>
          <w:rFonts w:ascii="Arial" w:hAnsi="Arial" w:cs="Arial"/>
        </w:rPr>
        <w:t>under severe scrutiny due to formaldehyde emission and chemicals known to cause allergies or skin and eye irritation. EPA has described formaldehyde as a cancer causing carcinogenic compound and California has restricte</w:t>
      </w:r>
      <w:r>
        <w:rPr>
          <w:rFonts w:ascii="Arial" w:hAnsi="Arial" w:cs="Arial"/>
        </w:rPr>
        <w:t>d its use in wood composites</w:t>
      </w:r>
      <w:r w:rsidRPr="00BE6AA8">
        <w:rPr>
          <w:rFonts w:ascii="Arial" w:hAnsi="Arial" w:cs="Arial"/>
        </w:rPr>
        <w:t>.</w:t>
      </w:r>
    </w:p>
    <w:p w:rsidR="00210B91" w:rsidRDefault="00252B90" w:rsidP="0081015D">
      <w:pPr>
        <w:jc w:val="both"/>
        <w:rPr>
          <w:rFonts w:ascii="Arial" w:hAnsi="Arial" w:cs="Arial"/>
        </w:rPr>
      </w:pPr>
      <w:r w:rsidRPr="00210B91">
        <w:rPr>
          <w:rFonts w:ascii="Arial" w:hAnsi="Arial" w:cs="Arial"/>
        </w:rPr>
        <w:t xml:space="preserve">The main project tasks for </w:t>
      </w:r>
      <w:r w:rsidR="002A35CE">
        <w:rPr>
          <w:rFonts w:ascii="Arial" w:hAnsi="Arial" w:cs="Arial"/>
        </w:rPr>
        <w:t>project</w:t>
      </w:r>
      <w:r w:rsidRPr="00210B91">
        <w:rPr>
          <w:rFonts w:ascii="Arial" w:hAnsi="Arial" w:cs="Arial"/>
        </w:rPr>
        <w:t xml:space="preserve"> were 1)</w:t>
      </w:r>
      <w:r w:rsidR="0081015D">
        <w:t xml:space="preserve"> </w:t>
      </w:r>
      <w:r w:rsidR="0081015D" w:rsidRPr="0081015D">
        <w:rPr>
          <w:rFonts w:ascii="Arial" w:hAnsi="Arial" w:cs="Arial"/>
        </w:rPr>
        <w:t>Evaluate the curing kinetics of ESS resin using most effective cross linker and catalysts blends and optimize/reduce the curing time so it ma</w:t>
      </w:r>
      <w:r w:rsidR="0081015D">
        <w:rPr>
          <w:rFonts w:ascii="Arial" w:hAnsi="Arial" w:cs="Arial"/>
        </w:rPr>
        <w:t xml:space="preserve">tches with industry standards. 2) </w:t>
      </w:r>
      <w:r w:rsidR="0081015D" w:rsidRPr="0081015D">
        <w:rPr>
          <w:rFonts w:ascii="Arial" w:hAnsi="Arial" w:cs="Arial"/>
        </w:rPr>
        <w:t>Manufacture particleboards with ESS resin blends under lowest curing time and test their phys</w:t>
      </w:r>
      <w:r w:rsidR="0081015D">
        <w:rPr>
          <w:rFonts w:ascii="Arial" w:hAnsi="Arial" w:cs="Arial"/>
        </w:rPr>
        <w:t>ical and mechanical properties</w:t>
      </w:r>
      <w:r w:rsidR="00F77964">
        <w:rPr>
          <w:rFonts w:ascii="Arial" w:hAnsi="Arial" w:cs="Arial"/>
        </w:rPr>
        <w:t>.</w:t>
      </w:r>
      <w:bookmarkStart w:id="0" w:name="_GoBack"/>
      <w:bookmarkEnd w:id="0"/>
      <w:r w:rsidR="0081015D">
        <w:rPr>
          <w:rFonts w:ascii="Arial" w:hAnsi="Arial" w:cs="Arial"/>
        </w:rPr>
        <w:t xml:space="preserve"> 3) </w:t>
      </w:r>
      <w:proofErr w:type="gramStart"/>
      <w:r w:rsidR="0081015D" w:rsidRPr="0081015D">
        <w:rPr>
          <w:rFonts w:ascii="Arial" w:hAnsi="Arial" w:cs="Arial"/>
        </w:rPr>
        <w:t>Develop</w:t>
      </w:r>
      <w:proofErr w:type="gramEnd"/>
      <w:r w:rsidR="0081015D" w:rsidRPr="0081015D">
        <w:rPr>
          <w:rFonts w:ascii="Arial" w:hAnsi="Arial" w:cs="Arial"/>
        </w:rPr>
        <w:t xml:space="preserve"> a technical bulletin and product specification sheet </w:t>
      </w:r>
      <w:r w:rsidR="0081015D">
        <w:rPr>
          <w:rFonts w:ascii="Arial" w:hAnsi="Arial" w:cs="Arial"/>
        </w:rPr>
        <w:t>for sharing with</w:t>
      </w:r>
      <w:r w:rsidR="0081015D" w:rsidRPr="0081015D">
        <w:rPr>
          <w:rFonts w:ascii="Arial" w:hAnsi="Arial" w:cs="Arial"/>
        </w:rPr>
        <w:t xml:space="preserve"> wood composite industries.</w:t>
      </w:r>
      <w:r w:rsidRPr="00210B91">
        <w:rPr>
          <w:rFonts w:ascii="Arial" w:hAnsi="Arial" w:cs="Arial"/>
        </w:rPr>
        <w:t xml:space="preserve"> </w:t>
      </w:r>
    </w:p>
    <w:p w:rsidR="001E7992" w:rsidRDefault="00252B90" w:rsidP="0081015D">
      <w:pPr>
        <w:jc w:val="both"/>
        <w:rPr>
          <w:rFonts w:ascii="Arial" w:hAnsi="Arial" w:cs="Arial"/>
        </w:rPr>
      </w:pPr>
      <w:r w:rsidRPr="00210B91">
        <w:rPr>
          <w:rFonts w:ascii="Arial" w:hAnsi="Arial" w:cs="Arial"/>
        </w:rPr>
        <w:t>In the task 1</w:t>
      </w:r>
      <w:r w:rsidR="006B3BCC">
        <w:rPr>
          <w:rFonts w:ascii="Arial" w:hAnsi="Arial" w:cs="Arial"/>
        </w:rPr>
        <w:t>,</w:t>
      </w:r>
      <w:r w:rsidRPr="00210B91">
        <w:rPr>
          <w:rFonts w:ascii="Arial" w:hAnsi="Arial" w:cs="Arial"/>
        </w:rPr>
        <w:t xml:space="preserve"> </w:t>
      </w:r>
      <w:r w:rsidR="00EA5D67">
        <w:rPr>
          <w:rFonts w:ascii="Arial" w:hAnsi="Arial" w:cs="Arial"/>
        </w:rPr>
        <w:t xml:space="preserve">to reduce resin curing time </w:t>
      </w:r>
      <w:r w:rsidR="0081015D">
        <w:rPr>
          <w:rFonts w:ascii="Arial" w:hAnsi="Arial" w:cs="Arial"/>
        </w:rPr>
        <w:t>a</w:t>
      </w:r>
      <w:r w:rsidR="0081015D" w:rsidRPr="0081015D">
        <w:rPr>
          <w:rFonts w:ascii="Arial" w:hAnsi="Arial" w:cs="Arial"/>
        </w:rPr>
        <w:t xml:space="preserve"> set of </w:t>
      </w:r>
      <w:r w:rsidR="0081015D">
        <w:rPr>
          <w:rFonts w:ascii="Arial" w:hAnsi="Arial" w:cs="Arial"/>
        </w:rPr>
        <w:t xml:space="preserve">two </w:t>
      </w:r>
      <w:r w:rsidR="0081015D" w:rsidRPr="0081015D">
        <w:rPr>
          <w:rFonts w:ascii="Arial" w:hAnsi="Arial" w:cs="Arial"/>
        </w:rPr>
        <w:t>cross-linkers</w:t>
      </w:r>
      <w:r w:rsidR="0081015D">
        <w:rPr>
          <w:rFonts w:ascii="Arial" w:hAnsi="Arial" w:cs="Arial"/>
        </w:rPr>
        <w:t xml:space="preserve"> (MTHPA, MHHPA) and three</w:t>
      </w:r>
      <w:r w:rsidR="0081015D" w:rsidRPr="0081015D">
        <w:rPr>
          <w:rFonts w:ascii="Arial" w:hAnsi="Arial" w:cs="Arial"/>
        </w:rPr>
        <w:t xml:space="preserve"> catalysts</w:t>
      </w:r>
      <w:r w:rsidR="0081015D">
        <w:rPr>
          <w:rFonts w:ascii="Arial" w:hAnsi="Arial" w:cs="Arial"/>
        </w:rPr>
        <w:t xml:space="preserve"> (AC8, BV-CAT7 and BV-CAT7FC)</w:t>
      </w:r>
      <w:r w:rsidR="0081015D" w:rsidRPr="0081015D">
        <w:rPr>
          <w:rFonts w:ascii="Arial" w:hAnsi="Arial" w:cs="Arial"/>
        </w:rPr>
        <w:t xml:space="preserve"> were </w:t>
      </w:r>
      <w:r w:rsidR="00EA5D67">
        <w:rPr>
          <w:rFonts w:ascii="Arial" w:hAnsi="Arial" w:cs="Arial"/>
        </w:rPr>
        <w:t>selected for use in ESS resin</w:t>
      </w:r>
      <w:r w:rsidR="0081015D" w:rsidRPr="0081015D">
        <w:rPr>
          <w:rFonts w:ascii="Arial" w:hAnsi="Arial" w:cs="Arial"/>
        </w:rPr>
        <w:t>.</w:t>
      </w:r>
      <w:r w:rsidR="00EA5D67">
        <w:rPr>
          <w:rFonts w:ascii="Arial" w:hAnsi="Arial" w:cs="Arial"/>
        </w:rPr>
        <w:t xml:space="preserve"> The catalyst were supplied by Broadview Company, ND. </w:t>
      </w:r>
      <w:r w:rsidR="00EA5D67" w:rsidRPr="00EA5D67">
        <w:rPr>
          <w:rFonts w:ascii="Arial" w:hAnsi="Arial" w:cs="Arial"/>
        </w:rPr>
        <w:t>A design of experiment was created with two curing times (5, 10 min), four processing temperature (130</w:t>
      </w:r>
      <w:r w:rsidR="00EA5D67" w:rsidRPr="00EA5D67">
        <w:rPr>
          <w:rFonts w:ascii="Arial" w:hAnsi="Arial" w:cs="Arial"/>
          <w:vertAlign w:val="superscript"/>
        </w:rPr>
        <w:t>o</w:t>
      </w:r>
      <w:r w:rsidR="00EA5D67" w:rsidRPr="00EA5D67">
        <w:rPr>
          <w:rFonts w:ascii="Arial" w:hAnsi="Arial" w:cs="Arial"/>
        </w:rPr>
        <w:t>C, 150</w:t>
      </w:r>
      <w:r w:rsidR="00EA5D67" w:rsidRPr="00EA5D67">
        <w:rPr>
          <w:rFonts w:ascii="Arial" w:hAnsi="Arial" w:cs="Arial"/>
          <w:vertAlign w:val="superscript"/>
        </w:rPr>
        <w:t>o</w:t>
      </w:r>
      <w:r w:rsidR="00EA5D67" w:rsidRPr="00EA5D67">
        <w:rPr>
          <w:rFonts w:ascii="Arial" w:hAnsi="Arial" w:cs="Arial"/>
        </w:rPr>
        <w:t>C, 175</w:t>
      </w:r>
      <w:r w:rsidR="00EA5D67" w:rsidRPr="00EA5D67">
        <w:rPr>
          <w:rFonts w:ascii="Arial" w:hAnsi="Arial" w:cs="Arial"/>
          <w:vertAlign w:val="superscript"/>
        </w:rPr>
        <w:t>o</w:t>
      </w:r>
      <w:r w:rsidR="00EA5D67" w:rsidRPr="00EA5D67">
        <w:rPr>
          <w:rFonts w:ascii="Arial" w:hAnsi="Arial" w:cs="Arial"/>
        </w:rPr>
        <w:t>C, and 190</w:t>
      </w:r>
      <w:r w:rsidR="00EA5D67" w:rsidRPr="00EA5D67">
        <w:rPr>
          <w:rFonts w:ascii="Arial" w:hAnsi="Arial" w:cs="Arial"/>
          <w:vertAlign w:val="superscript"/>
        </w:rPr>
        <w:t>o</w:t>
      </w:r>
      <w:r w:rsidR="00EA5D67" w:rsidRPr="00EA5D67">
        <w:rPr>
          <w:rFonts w:ascii="Arial" w:hAnsi="Arial" w:cs="Arial"/>
        </w:rPr>
        <w:t xml:space="preserve">C) which resulted in 48 unique formulations. </w:t>
      </w:r>
      <w:r w:rsidR="00EA5D67">
        <w:rPr>
          <w:rFonts w:ascii="Arial" w:hAnsi="Arial" w:cs="Arial"/>
        </w:rPr>
        <w:t xml:space="preserve"> </w:t>
      </w:r>
      <w:r w:rsidR="0081015D" w:rsidRPr="0081015D">
        <w:rPr>
          <w:rFonts w:ascii="Arial" w:hAnsi="Arial" w:cs="Arial"/>
        </w:rPr>
        <w:t>Initial characterization was conducted through evaluating curing kinetics via differential scanning calorimetry (DSC) and bond strength using lap shear testing.</w:t>
      </w:r>
      <w:r w:rsidR="00EA5D67">
        <w:rPr>
          <w:rFonts w:ascii="Arial" w:hAnsi="Arial" w:cs="Arial"/>
        </w:rPr>
        <w:t xml:space="preserve"> After initial characterization and screening s</w:t>
      </w:r>
      <w:r w:rsidR="001E7992">
        <w:rPr>
          <w:rFonts w:ascii="Arial" w:hAnsi="Arial" w:cs="Arial"/>
        </w:rPr>
        <w:t>ix</w:t>
      </w:r>
      <w:r w:rsidR="00EA5D67">
        <w:rPr>
          <w:rFonts w:ascii="Arial" w:hAnsi="Arial" w:cs="Arial"/>
        </w:rPr>
        <w:t xml:space="preserve"> formulations were selected for detailed analysis as shown </w:t>
      </w:r>
      <w:r w:rsidR="00EA5D67" w:rsidRPr="001E7992">
        <w:rPr>
          <w:rFonts w:ascii="Arial" w:hAnsi="Arial" w:cs="Arial"/>
        </w:rPr>
        <w:t xml:space="preserve">in </w:t>
      </w:r>
      <w:r w:rsidR="00A1416A" w:rsidRPr="001E7992">
        <w:rPr>
          <w:rFonts w:ascii="Arial" w:hAnsi="Arial" w:cs="Arial"/>
        </w:rPr>
        <w:t>Table</w:t>
      </w:r>
      <w:r w:rsidR="00EA5D67" w:rsidRPr="001E7992">
        <w:rPr>
          <w:rFonts w:ascii="Arial" w:hAnsi="Arial" w:cs="Arial"/>
        </w:rPr>
        <w:t xml:space="preserve"> 1.</w:t>
      </w:r>
      <w:r w:rsidR="00EA5D67">
        <w:rPr>
          <w:rFonts w:ascii="Arial" w:hAnsi="Arial" w:cs="Arial"/>
        </w:rPr>
        <w:t xml:space="preserve"> </w:t>
      </w:r>
    </w:p>
    <w:p w:rsidR="001E7992" w:rsidRDefault="001E7992" w:rsidP="001E7992">
      <w:pPr>
        <w:spacing w:after="0" w:line="360" w:lineRule="auto"/>
        <w:jc w:val="center"/>
        <w:rPr>
          <w:sz w:val="24"/>
        </w:rPr>
      </w:pPr>
      <w:r>
        <w:rPr>
          <w:sz w:val="24"/>
        </w:rPr>
        <w:t xml:space="preserve">Table 1: </w:t>
      </w:r>
      <w:r w:rsidR="006B3BCC">
        <w:rPr>
          <w:sz w:val="24"/>
        </w:rPr>
        <w:t xml:space="preserve">Preliminary ESS </w:t>
      </w:r>
      <w:r>
        <w:rPr>
          <w:sz w:val="24"/>
        </w:rPr>
        <w:t>Resin-</w:t>
      </w:r>
      <w:proofErr w:type="spellStart"/>
      <w:r>
        <w:rPr>
          <w:sz w:val="24"/>
        </w:rPr>
        <w:t>Crosslinker</w:t>
      </w:r>
      <w:proofErr w:type="spellEnd"/>
      <w:r>
        <w:rPr>
          <w:sz w:val="24"/>
        </w:rPr>
        <w:t xml:space="preserve">-Catalyst </w:t>
      </w:r>
      <w:r w:rsidR="006B3BCC">
        <w:rPr>
          <w:sz w:val="24"/>
        </w:rPr>
        <w:t xml:space="preserve">Formula Characterization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7"/>
        <w:gridCol w:w="1436"/>
        <w:gridCol w:w="1515"/>
        <w:gridCol w:w="1737"/>
        <w:gridCol w:w="1411"/>
        <w:gridCol w:w="1912"/>
      </w:tblGrid>
      <w:tr w:rsidR="001E7992" w:rsidRPr="006E263B" w:rsidTr="002B5981">
        <w:trPr>
          <w:trHeight w:val="31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Primary Resin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Catalyst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E263B">
              <w:rPr>
                <w:rFonts w:ascii="Calibri" w:eastAsia="Times New Roman" w:hAnsi="Calibri" w:cs="Times New Roman"/>
                <w:color w:val="000000"/>
              </w:rPr>
              <w:t>Crosslinker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Mixture Ratio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DSC (P/F)</w:t>
            </w:r>
          </w:p>
        </w:tc>
      </w:tr>
      <w:tr w:rsidR="001E7992" w:rsidRPr="006E263B" w:rsidTr="002B5981">
        <w:trPr>
          <w:trHeight w:val="300"/>
        </w:trPr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ESS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BV-CAT7FC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MHHPA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25:20:01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Formula 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ass</w:t>
            </w:r>
          </w:p>
        </w:tc>
      </w:tr>
      <w:tr w:rsidR="001E7992" w:rsidRPr="006E263B" w:rsidTr="002B5981">
        <w:trPr>
          <w:trHeight w:val="30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50:40:01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Formula 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ass</w:t>
            </w:r>
          </w:p>
        </w:tc>
      </w:tr>
      <w:tr w:rsidR="001E7992" w:rsidRPr="006E263B" w:rsidTr="002B5981">
        <w:trPr>
          <w:trHeight w:val="30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MTHPA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25:20:01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Formula 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ass</w:t>
            </w:r>
          </w:p>
        </w:tc>
      </w:tr>
      <w:tr w:rsidR="001E7992" w:rsidRPr="006E263B" w:rsidTr="002B5981">
        <w:trPr>
          <w:trHeight w:val="30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50:40:01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Formula 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ail</w:t>
            </w:r>
          </w:p>
        </w:tc>
      </w:tr>
      <w:tr w:rsidR="001E7992" w:rsidRPr="006E263B" w:rsidTr="002B5981">
        <w:trPr>
          <w:trHeight w:val="30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BV-CAT7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MHHPA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25:20:01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Formula 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ass</w:t>
            </w:r>
          </w:p>
        </w:tc>
      </w:tr>
      <w:tr w:rsidR="001E7992" w:rsidRPr="006E263B" w:rsidTr="002B5981">
        <w:trPr>
          <w:trHeight w:val="30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50:40:01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Formula 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ass</w:t>
            </w:r>
          </w:p>
        </w:tc>
      </w:tr>
      <w:tr w:rsidR="001E7992" w:rsidRPr="006E263B" w:rsidTr="002B5981">
        <w:trPr>
          <w:trHeight w:val="30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MTHPA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25:20:01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Formula 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ass</w:t>
            </w:r>
          </w:p>
        </w:tc>
      </w:tr>
      <w:tr w:rsidR="001E7992" w:rsidRPr="006E263B" w:rsidTr="002B5981">
        <w:trPr>
          <w:trHeight w:val="30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50:40:01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Formula 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ail</w:t>
            </w:r>
          </w:p>
        </w:tc>
      </w:tr>
      <w:tr w:rsidR="001E7992" w:rsidRPr="006E263B" w:rsidTr="002B5981">
        <w:trPr>
          <w:trHeight w:val="30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AC-8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MHHPA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10:08:01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Formula 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ail</w:t>
            </w:r>
          </w:p>
        </w:tc>
      </w:tr>
      <w:tr w:rsidR="001E7992" w:rsidRPr="006E263B" w:rsidTr="002B5981">
        <w:trPr>
          <w:trHeight w:val="30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MTHPA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10:08:01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Formula 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7992" w:rsidRPr="006E263B" w:rsidRDefault="001E7992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263B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ail</w:t>
            </w:r>
          </w:p>
        </w:tc>
      </w:tr>
    </w:tbl>
    <w:p w:rsidR="00964F64" w:rsidRDefault="00964F64" w:rsidP="0081015D">
      <w:pPr>
        <w:jc w:val="both"/>
        <w:rPr>
          <w:rFonts w:ascii="Arial" w:hAnsi="Arial" w:cs="Arial"/>
        </w:rPr>
      </w:pPr>
    </w:p>
    <w:p w:rsidR="00A1416A" w:rsidRDefault="00B20BFA" w:rsidP="00810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analysis of shear stress values and curing kinetics further helped us to narrow down to one most promising formulation (Formula 2) which constituted ESS resin,</w:t>
      </w:r>
      <w:r w:rsidRPr="00B20BFA">
        <w:t xml:space="preserve"> </w:t>
      </w:r>
      <w:r>
        <w:rPr>
          <w:rFonts w:ascii="Arial" w:hAnsi="Arial" w:cs="Arial"/>
        </w:rPr>
        <w:t xml:space="preserve">MHHPA as </w:t>
      </w:r>
      <w:proofErr w:type="spellStart"/>
      <w:r>
        <w:rPr>
          <w:rFonts w:ascii="Arial" w:hAnsi="Arial" w:cs="Arial"/>
        </w:rPr>
        <w:t>crosslinker</w:t>
      </w:r>
      <w:proofErr w:type="spellEnd"/>
      <w:r>
        <w:rPr>
          <w:rFonts w:ascii="Arial" w:hAnsi="Arial" w:cs="Arial"/>
        </w:rPr>
        <w:t xml:space="preserve"> and BV-CAT7FC as ca</w:t>
      </w:r>
      <w:r w:rsidR="00A1416A">
        <w:rPr>
          <w:rFonts w:ascii="Arial" w:hAnsi="Arial" w:cs="Arial"/>
        </w:rPr>
        <w:t xml:space="preserve">talyst as shown in </w:t>
      </w:r>
      <w:r w:rsidR="00A1416A" w:rsidRPr="00B77999">
        <w:rPr>
          <w:rFonts w:ascii="Arial" w:hAnsi="Arial" w:cs="Arial"/>
        </w:rPr>
        <w:t>figure 2.</w:t>
      </w:r>
      <w:r w:rsidR="00A1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curing time was 5 and 10 min and processing temperature of 175°C and 190°C. In task 2 particleboards were manufactured by blending formula 2 with commercial resin MDI at two different levels (50% and 75%)</w:t>
      </w:r>
      <w:r w:rsidR="00A1416A">
        <w:rPr>
          <w:rFonts w:ascii="Arial" w:hAnsi="Arial" w:cs="Arial"/>
        </w:rPr>
        <w:t xml:space="preserve">. </w:t>
      </w:r>
    </w:p>
    <w:p w:rsidR="001E7992" w:rsidRDefault="001E7992" w:rsidP="0081015D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65660F0" wp14:editId="6AD1CB40">
            <wp:extent cx="3079820" cy="2074873"/>
            <wp:effectExtent l="0" t="0" r="6350" b="1905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7CFB567B-3D8B-4F6C-ACD8-E30E7A77A3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E6FC1">
        <w:rPr>
          <w:noProof/>
        </w:rPr>
        <w:drawing>
          <wp:inline distT="0" distB="0" distL="0" distR="0" wp14:anchorId="266BA48C" wp14:editId="0A9451A0">
            <wp:extent cx="2778369" cy="2072640"/>
            <wp:effectExtent l="0" t="0" r="3175" b="381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143AC10F-2930-4131-B61A-8545913F7D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7992" w:rsidRDefault="001E7992" w:rsidP="00810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Figure 2. </w:t>
      </w:r>
      <w:r>
        <w:rPr>
          <w:sz w:val="24"/>
        </w:rPr>
        <w:t>Mean Shear Stress for ESS based Formulas</w:t>
      </w:r>
      <w:r w:rsidR="00E749F7">
        <w:rPr>
          <w:sz w:val="24"/>
        </w:rPr>
        <w:t xml:space="preserve"> and blends with MDI resin.</w:t>
      </w:r>
    </w:p>
    <w:p w:rsidR="0081015D" w:rsidRDefault="00A1416A" w:rsidP="00A1416A">
      <w:pPr>
        <w:jc w:val="both"/>
        <w:rPr>
          <w:rFonts w:ascii="Arial" w:hAnsi="Arial" w:cs="Arial"/>
        </w:rPr>
      </w:pPr>
      <w:r w:rsidRPr="00A1416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particleboards were manufactured using</w:t>
      </w:r>
      <w:r w:rsidRPr="00A1416A">
        <w:rPr>
          <w:rFonts w:ascii="Arial" w:hAnsi="Arial" w:cs="Arial"/>
        </w:rPr>
        <w:t xml:space="preserve"> resin, wax, and pine wood </w:t>
      </w:r>
      <w:proofErr w:type="spellStart"/>
      <w:r w:rsidRPr="00A1416A">
        <w:rPr>
          <w:rFonts w:ascii="Arial" w:hAnsi="Arial" w:cs="Arial"/>
        </w:rPr>
        <w:t>flour</w:t>
      </w:r>
      <w:proofErr w:type="spellEnd"/>
      <w:r w:rsidRPr="00A1416A">
        <w:rPr>
          <w:rFonts w:ascii="Arial" w:hAnsi="Arial" w:cs="Arial"/>
        </w:rPr>
        <w:t xml:space="preserve">. The boards are made by spraying the wood flour with resin and wax while being agitated in a </w:t>
      </w:r>
      <w:r>
        <w:rPr>
          <w:rFonts w:ascii="Arial" w:hAnsi="Arial" w:cs="Arial"/>
        </w:rPr>
        <w:t>rotary</w:t>
      </w:r>
      <w:r w:rsidRPr="00A1416A">
        <w:rPr>
          <w:rFonts w:ascii="Arial" w:hAnsi="Arial" w:cs="Arial"/>
        </w:rPr>
        <w:t xml:space="preserve"> mixer to evenly disperse the resin and wax throughout all the wood fibers. The freshly coated fibers are then placed into a mold that has been preheated to the curing temperature and then immediately placed in the press. Once in the press a pressure of 10 metric tons </w:t>
      </w:r>
      <w:r w:rsidR="00893C44">
        <w:rPr>
          <w:rFonts w:ascii="Arial" w:hAnsi="Arial" w:cs="Arial"/>
        </w:rPr>
        <w:t xml:space="preserve">was applied </w:t>
      </w:r>
      <w:r w:rsidRPr="00A1416A">
        <w:rPr>
          <w:rFonts w:ascii="Arial" w:hAnsi="Arial" w:cs="Arial"/>
        </w:rPr>
        <w:t xml:space="preserve">within a minute and held there for the desired curing time, with the time starting once the 10 ton pressure is reached. </w:t>
      </w:r>
      <w:r w:rsidR="00893C44">
        <w:rPr>
          <w:rFonts w:ascii="Arial" w:hAnsi="Arial" w:cs="Arial"/>
        </w:rPr>
        <w:t xml:space="preserve">After pressing the </w:t>
      </w:r>
      <w:r w:rsidRPr="00A1416A">
        <w:rPr>
          <w:rFonts w:ascii="Arial" w:hAnsi="Arial" w:cs="Arial"/>
        </w:rPr>
        <w:t xml:space="preserve">boards </w:t>
      </w:r>
      <w:r w:rsidR="00893C44">
        <w:rPr>
          <w:rFonts w:ascii="Arial" w:hAnsi="Arial" w:cs="Arial"/>
        </w:rPr>
        <w:t>were</w:t>
      </w:r>
      <w:r w:rsidRPr="00A1416A">
        <w:rPr>
          <w:rFonts w:ascii="Arial" w:hAnsi="Arial" w:cs="Arial"/>
        </w:rPr>
        <w:t xml:space="preserve"> removed from the mold and left to cool and equilibrate in standard lab conditions for at least 24 hours.</w:t>
      </w:r>
      <w:r w:rsidR="00893C44">
        <w:rPr>
          <w:rFonts w:ascii="Arial" w:hAnsi="Arial" w:cs="Arial"/>
        </w:rPr>
        <w:t xml:space="preserve"> </w:t>
      </w:r>
      <w:r w:rsidRPr="00A1416A">
        <w:rPr>
          <w:rFonts w:ascii="Arial" w:hAnsi="Arial" w:cs="Arial"/>
        </w:rPr>
        <w:t xml:space="preserve">The particleboards </w:t>
      </w:r>
      <w:r w:rsidR="00893C44">
        <w:rPr>
          <w:rFonts w:ascii="Arial" w:hAnsi="Arial" w:cs="Arial"/>
        </w:rPr>
        <w:t>were tested</w:t>
      </w:r>
      <w:r w:rsidRPr="00A1416A">
        <w:rPr>
          <w:rFonts w:ascii="Arial" w:hAnsi="Arial" w:cs="Arial"/>
        </w:rPr>
        <w:t xml:space="preserve"> for water absorption, flexural strength, and resin bond strength properties.</w:t>
      </w:r>
      <w:r w:rsidRPr="00A1416A">
        <w:t xml:space="preserve"> </w:t>
      </w:r>
      <w:r w:rsidRPr="00A1416A">
        <w:rPr>
          <w:rFonts w:ascii="Arial" w:hAnsi="Arial" w:cs="Arial"/>
        </w:rPr>
        <w:t xml:space="preserve">Water absorption </w:t>
      </w:r>
      <w:r w:rsidR="00893C44">
        <w:rPr>
          <w:rFonts w:ascii="Arial" w:hAnsi="Arial" w:cs="Arial"/>
        </w:rPr>
        <w:t>was</w:t>
      </w:r>
      <w:r w:rsidRPr="00A1416A">
        <w:rPr>
          <w:rFonts w:ascii="Arial" w:hAnsi="Arial" w:cs="Arial"/>
        </w:rPr>
        <w:t xml:space="preserve"> evaluated by immersing low density boards in water bath for 2 </w:t>
      </w:r>
      <w:proofErr w:type="spellStart"/>
      <w:r w:rsidRPr="00A1416A">
        <w:rPr>
          <w:rFonts w:ascii="Arial" w:hAnsi="Arial" w:cs="Arial"/>
        </w:rPr>
        <w:t>hrs</w:t>
      </w:r>
      <w:proofErr w:type="spellEnd"/>
      <w:r w:rsidRPr="00A1416A">
        <w:rPr>
          <w:rFonts w:ascii="Arial" w:hAnsi="Arial" w:cs="Arial"/>
        </w:rPr>
        <w:t xml:space="preserve"> and calculating percentage water absorption. The strength properties (modulus of elasticity and modulus of rupture) </w:t>
      </w:r>
      <w:r w:rsidR="00893C44">
        <w:rPr>
          <w:rFonts w:ascii="Arial" w:hAnsi="Arial" w:cs="Arial"/>
        </w:rPr>
        <w:t>were</w:t>
      </w:r>
      <w:r w:rsidRPr="00A1416A">
        <w:rPr>
          <w:rFonts w:ascii="Arial" w:hAnsi="Arial" w:cs="Arial"/>
        </w:rPr>
        <w:t xml:space="preserve"> evaluated following ASTM D1037 method using universal testing machine </w:t>
      </w:r>
      <w:proofErr w:type="spellStart"/>
      <w:r w:rsidRPr="00A1416A">
        <w:rPr>
          <w:rFonts w:ascii="Arial" w:hAnsi="Arial" w:cs="Arial"/>
        </w:rPr>
        <w:t>Instron</w:t>
      </w:r>
      <w:proofErr w:type="spellEnd"/>
      <w:r w:rsidRPr="00A1416A">
        <w:rPr>
          <w:rFonts w:ascii="Arial" w:hAnsi="Arial" w:cs="Arial"/>
        </w:rPr>
        <w:t xml:space="preserve">. Bond strength </w:t>
      </w:r>
      <w:r w:rsidR="00893C44">
        <w:rPr>
          <w:rFonts w:ascii="Arial" w:hAnsi="Arial" w:cs="Arial"/>
        </w:rPr>
        <w:t>was</w:t>
      </w:r>
      <w:r w:rsidRPr="00A1416A">
        <w:rPr>
          <w:rFonts w:ascii="Arial" w:hAnsi="Arial" w:cs="Arial"/>
        </w:rPr>
        <w:t xml:space="preserve"> measured by evaluating its resistance to tensile failure by following the ASTM D1037 procedure.</w:t>
      </w:r>
    </w:p>
    <w:p w:rsidR="0077213E" w:rsidRDefault="0077213E" w:rsidP="007721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result of physical and mechanical properties are shown in table 2. </w:t>
      </w:r>
      <w:r w:rsidRPr="0077213E">
        <w:rPr>
          <w:rFonts w:ascii="Arial" w:hAnsi="Arial" w:cs="Arial"/>
        </w:rPr>
        <w:t xml:space="preserve">In terms of density there isn’t too much to say outside of the fact that all the </w:t>
      </w:r>
      <w:r w:rsidR="006B3BCC" w:rsidRPr="0077213E">
        <w:rPr>
          <w:rFonts w:ascii="Arial" w:hAnsi="Arial" w:cs="Arial"/>
        </w:rPr>
        <w:t>specimen’s</w:t>
      </w:r>
      <w:r w:rsidRPr="0077213E">
        <w:rPr>
          <w:rFonts w:ascii="Arial" w:hAnsi="Arial" w:cs="Arial"/>
        </w:rPr>
        <w:t xml:space="preserve"> fall within the definition of medium density particleboard. This continues with the water absorption test for the first 2-hour mark. There are clear differences between the different formulas but no real trend to draw any conclusions off. However, when looking at water absorption at the 24-hour mark there are clear trends worthy of note. Starting with the most obvious and that being the % change in volume over the 24-hour period.</w:t>
      </w:r>
    </w:p>
    <w:p w:rsidR="001E7992" w:rsidRDefault="00EC0DC1" w:rsidP="0077213E">
      <w:pPr>
        <w:jc w:val="both"/>
        <w:rPr>
          <w:rFonts w:ascii="Arial" w:hAnsi="Arial" w:cs="Arial"/>
        </w:rPr>
      </w:pPr>
      <w:r w:rsidRPr="00EC0DC1">
        <w:rPr>
          <w:rFonts w:ascii="Arial" w:hAnsi="Arial" w:cs="Arial"/>
        </w:rPr>
        <w:t xml:space="preserve">This study helped to identify two or more promising cross-linking chemistries which can reduce the cure time of ESS based particleboards without compromising the </w:t>
      </w:r>
      <w:proofErr w:type="spellStart"/>
      <w:r w:rsidRPr="00EC0DC1">
        <w:rPr>
          <w:rFonts w:ascii="Arial" w:hAnsi="Arial" w:cs="Arial"/>
        </w:rPr>
        <w:t>physico</w:t>
      </w:r>
      <w:proofErr w:type="spellEnd"/>
      <w:r w:rsidRPr="00EC0DC1">
        <w:rPr>
          <w:rFonts w:ascii="Arial" w:hAnsi="Arial" w:cs="Arial"/>
        </w:rPr>
        <w:t xml:space="preserve">-mechanical properties. The use of anhydride </w:t>
      </w:r>
      <w:proofErr w:type="spellStart"/>
      <w:r w:rsidRPr="00EC0DC1">
        <w:rPr>
          <w:rFonts w:ascii="Arial" w:hAnsi="Arial" w:cs="Arial"/>
        </w:rPr>
        <w:t>crosslinkers</w:t>
      </w:r>
      <w:proofErr w:type="spellEnd"/>
      <w:r w:rsidRPr="00EC0DC1">
        <w:rPr>
          <w:rFonts w:ascii="Arial" w:hAnsi="Arial" w:cs="Arial"/>
        </w:rPr>
        <w:t xml:space="preserve"> MHHPA and MTHPA and fast acting catalyst in BV-CAT7 and BV-CAT7FC can reduce the curing time of particleboards from 30 min to 5 or 10 min when pressed under 175 or 190°C. Further ESS resin can be easily blended with commercial adhesives up to 50% </w:t>
      </w:r>
      <w:r w:rsidRPr="00EC0DC1">
        <w:rPr>
          <w:rFonts w:ascii="Arial" w:hAnsi="Arial" w:cs="Arial"/>
        </w:rPr>
        <w:lastRenderedPageBreak/>
        <w:t xml:space="preserve">without a significant loss in </w:t>
      </w:r>
      <w:proofErr w:type="spellStart"/>
      <w:r w:rsidRPr="00EC0DC1">
        <w:rPr>
          <w:rFonts w:ascii="Arial" w:hAnsi="Arial" w:cs="Arial"/>
        </w:rPr>
        <w:t>physico</w:t>
      </w:r>
      <w:proofErr w:type="spellEnd"/>
      <w:r w:rsidRPr="00EC0DC1">
        <w:rPr>
          <w:rFonts w:ascii="Arial" w:hAnsi="Arial" w:cs="Arial"/>
        </w:rPr>
        <w:t xml:space="preserve">-mechanical properties of particleboards. Further ESS resin can be easily blended with commercial adhesives up to 50% without a significant loss in strength and durability properties. The </w:t>
      </w:r>
      <w:proofErr w:type="spellStart"/>
      <w:r w:rsidRPr="00EC0DC1">
        <w:rPr>
          <w:rFonts w:ascii="Arial" w:hAnsi="Arial" w:cs="Arial"/>
        </w:rPr>
        <w:t>biobased</w:t>
      </w:r>
      <w:proofErr w:type="spellEnd"/>
      <w:r w:rsidRPr="00EC0DC1">
        <w:rPr>
          <w:rFonts w:ascii="Arial" w:hAnsi="Arial" w:cs="Arial"/>
        </w:rPr>
        <w:t>, and sustainable nature of ESS resin can be a safe alternative to formaldehyde adhesives and the low curing temperature of this ESS resin helps manufacturers to conserve energy.</w:t>
      </w:r>
    </w:p>
    <w:p w:rsidR="0077213E" w:rsidRDefault="0077213E" w:rsidP="0077213E">
      <w:pPr>
        <w:jc w:val="center"/>
      </w:pPr>
      <w:r>
        <w:t>Table 2: Physical and Mechanical Properties of ESS and MDI based Particleboards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978"/>
        <w:gridCol w:w="1627"/>
        <w:gridCol w:w="1460"/>
        <w:gridCol w:w="1250"/>
        <w:gridCol w:w="990"/>
        <w:gridCol w:w="1170"/>
        <w:gridCol w:w="1260"/>
      </w:tblGrid>
      <w:tr w:rsidR="0077213E" w:rsidRPr="00620173" w:rsidTr="0077213E">
        <w:trPr>
          <w:trHeight w:val="300"/>
        </w:trPr>
        <w:tc>
          <w:tcPr>
            <w:tcW w:w="1243" w:type="dxa"/>
            <w:shd w:val="clear" w:color="000000" w:fill="000000"/>
            <w:noWrap/>
            <w:vAlign w:val="bottom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620173">
              <w:rPr>
                <w:rFonts w:ascii="Calibri" w:eastAsia="Times New Roman" w:hAnsi="Calibri" w:cs="Times New Roman"/>
                <w:color w:val="FFFFFF"/>
              </w:rPr>
              <w:t>Formula</w:t>
            </w:r>
          </w:p>
        </w:tc>
        <w:tc>
          <w:tcPr>
            <w:tcW w:w="978" w:type="dxa"/>
            <w:shd w:val="clear" w:color="000000" w:fill="000000"/>
            <w:noWrap/>
            <w:vAlign w:val="bottom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620173">
              <w:rPr>
                <w:rFonts w:ascii="Calibri" w:eastAsia="Times New Roman" w:hAnsi="Calibri" w:cs="Times New Roman"/>
                <w:color w:val="FFFFFF"/>
              </w:rPr>
              <w:t>Cure Time</w:t>
            </w:r>
          </w:p>
        </w:tc>
        <w:tc>
          <w:tcPr>
            <w:tcW w:w="1627" w:type="dxa"/>
            <w:shd w:val="clear" w:color="000000" w:fill="000000"/>
            <w:noWrap/>
            <w:vAlign w:val="bottom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620173">
              <w:rPr>
                <w:rFonts w:ascii="Calibri" w:eastAsia="Times New Roman" w:hAnsi="Calibri" w:cs="Times New Roman"/>
                <w:color w:val="FFFFFF"/>
              </w:rPr>
              <w:t>Cure Temperature</w:t>
            </w:r>
          </w:p>
        </w:tc>
        <w:tc>
          <w:tcPr>
            <w:tcW w:w="1460" w:type="dxa"/>
            <w:shd w:val="clear" w:color="000000" w:fill="000000"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Density (kg/m^3)</w:t>
            </w:r>
          </w:p>
        </w:tc>
        <w:tc>
          <w:tcPr>
            <w:tcW w:w="1250" w:type="dxa"/>
            <w:shd w:val="clear" w:color="000000" w:fill="000000"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2h % Volume Change</w:t>
            </w:r>
          </w:p>
        </w:tc>
        <w:tc>
          <w:tcPr>
            <w:tcW w:w="990" w:type="dxa"/>
            <w:shd w:val="clear" w:color="000000" w:fill="000000"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2h % Mass Change</w:t>
            </w:r>
          </w:p>
        </w:tc>
        <w:tc>
          <w:tcPr>
            <w:tcW w:w="1170" w:type="dxa"/>
            <w:shd w:val="clear" w:color="000000" w:fill="000000"/>
          </w:tcPr>
          <w:p w:rsidR="0077213E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24h % Volume Change</w:t>
            </w:r>
          </w:p>
        </w:tc>
        <w:tc>
          <w:tcPr>
            <w:tcW w:w="1260" w:type="dxa"/>
            <w:shd w:val="clear" w:color="000000" w:fill="000000"/>
          </w:tcPr>
          <w:p w:rsidR="0077213E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24h %Mass Change</w:t>
            </w:r>
          </w:p>
        </w:tc>
      </w:tr>
      <w:tr w:rsidR="0077213E" w:rsidRPr="00620173" w:rsidTr="0077213E">
        <w:trPr>
          <w:trHeight w:val="300"/>
        </w:trPr>
        <w:tc>
          <w:tcPr>
            <w:tcW w:w="1243" w:type="dxa"/>
            <w:vMerge w:val="restart"/>
            <w:shd w:val="clear" w:color="000000" w:fill="2F75B5"/>
            <w:noWrap/>
            <w:vAlign w:val="center"/>
            <w:hideMark/>
          </w:tcPr>
          <w:p w:rsidR="0077213E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77213E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>100% MDI</w:t>
            </w:r>
          </w:p>
        </w:tc>
        <w:tc>
          <w:tcPr>
            <w:tcW w:w="978" w:type="dxa"/>
            <w:vMerge w:val="restart"/>
            <w:shd w:val="clear" w:color="000000" w:fill="9BC2E6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>5 min</w:t>
            </w:r>
          </w:p>
        </w:tc>
        <w:tc>
          <w:tcPr>
            <w:tcW w:w="1627" w:type="dxa"/>
            <w:shd w:val="clear" w:color="000000" w:fill="DDEBF7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 xml:space="preserve">175 </w:t>
            </w:r>
            <w:r w:rsidR="006B3BCC">
              <w:rPr>
                <w:rFonts w:ascii="Calibri" w:eastAsia="Times New Roman" w:hAnsi="Calibri" w:cs="Calibri"/>
                <w:color w:val="000000"/>
              </w:rPr>
              <w:t>°</w:t>
            </w:r>
            <w:r w:rsidRPr="0062017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460" w:type="dxa"/>
            <w:shd w:val="clear" w:color="auto" w:fill="DAEEF3" w:themeFill="accent5" w:themeFillTint="33"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C7C">
              <w:rPr>
                <w:rFonts w:ascii="Calibri" w:eastAsia="Times New Roman" w:hAnsi="Calibri" w:cs="Times New Roman"/>
                <w:color w:val="000000"/>
              </w:rPr>
              <w:t>556.3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50" w:type="dxa"/>
            <w:shd w:val="clear" w:color="000000" w:fill="DDEBF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10.97%</w:t>
            </w:r>
          </w:p>
        </w:tc>
        <w:tc>
          <w:tcPr>
            <w:tcW w:w="990" w:type="dxa"/>
            <w:shd w:val="clear" w:color="000000" w:fill="DDEBF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11.09%</w:t>
            </w:r>
          </w:p>
        </w:tc>
        <w:tc>
          <w:tcPr>
            <w:tcW w:w="1170" w:type="dxa"/>
            <w:shd w:val="clear" w:color="000000" w:fill="DDEBF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21.77%</w:t>
            </w:r>
          </w:p>
        </w:tc>
        <w:tc>
          <w:tcPr>
            <w:tcW w:w="1260" w:type="dxa"/>
            <w:shd w:val="clear" w:color="000000" w:fill="DDEBF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24.77%</w:t>
            </w:r>
          </w:p>
        </w:tc>
      </w:tr>
      <w:tr w:rsidR="0077213E" w:rsidRPr="00620173" w:rsidTr="0077213E">
        <w:trPr>
          <w:trHeight w:val="300"/>
        </w:trPr>
        <w:tc>
          <w:tcPr>
            <w:tcW w:w="1243" w:type="dxa"/>
            <w:vMerge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7" w:type="dxa"/>
            <w:shd w:val="clear" w:color="000000" w:fill="BDD7EE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 xml:space="preserve">190 </w:t>
            </w:r>
            <w:r w:rsidR="00765959" w:rsidRPr="00765959">
              <w:rPr>
                <w:rFonts w:ascii="Calibri" w:eastAsia="Times New Roman" w:hAnsi="Calibri" w:cs="Times New Roman"/>
                <w:color w:val="000000"/>
              </w:rPr>
              <w:t>°</w:t>
            </w:r>
            <w:r w:rsidRPr="0062017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460" w:type="dxa"/>
            <w:shd w:val="clear" w:color="000000" w:fill="BDD7EE"/>
            <w:vAlign w:val="center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548.70</w:t>
            </w:r>
          </w:p>
        </w:tc>
        <w:tc>
          <w:tcPr>
            <w:tcW w:w="1250" w:type="dxa"/>
            <w:shd w:val="clear" w:color="000000" w:fill="BDD7EE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18.06%</w:t>
            </w:r>
          </w:p>
        </w:tc>
        <w:tc>
          <w:tcPr>
            <w:tcW w:w="990" w:type="dxa"/>
            <w:shd w:val="clear" w:color="000000" w:fill="BDD7EE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29.63%</w:t>
            </w:r>
          </w:p>
        </w:tc>
        <w:tc>
          <w:tcPr>
            <w:tcW w:w="1170" w:type="dxa"/>
            <w:shd w:val="clear" w:color="000000" w:fill="BDD7EE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25.91%</w:t>
            </w:r>
          </w:p>
        </w:tc>
        <w:tc>
          <w:tcPr>
            <w:tcW w:w="1260" w:type="dxa"/>
            <w:shd w:val="clear" w:color="000000" w:fill="BDD7EE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42.33%</w:t>
            </w:r>
          </w:p>
        </w:tc>
      </w:tr>
      <w:tr w:rsidR="0077213E" w:rsidRPr="00620173" w:rsidTr="0077213E">
        <w:trPr>
          <w:trHeight w:val="300"/>
        </w:trPr>
        <w:tc>
          <w:tcPr>
            <w:tcW w:w="1243" w:type="dxa"/>
            <w:vMerge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 w:val="restart"/>
            <w:shd w:val="clear" w:color="000000" w:fill="5B9BD5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>10 min</w:t>
            </w:r>
          </w:p>
        </w:tc>
        <w:tc>
          <w:tcPr>
            <w:tcW w:w="1627" w:type="dxa"/>
            <w:shd w:val="clear" w:color="000000" w:fill="DDEBF7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 xml:space="preserve">175 </w:t>
            </w:r>
            <w:r w:rsidR="00765959" w:rsidRPr="00765959">
              <w:rPr>
                <w:rFonts w:ascii="Calibri" w:eastAsia="Times New Roman" w:hAnsi="Calibri" w:cs="Times New Roman"/>
                <w:color w:val="000000"/>
              </w:rPr>
              <w:t>°</w:t>
            </w:r>
            <w:r w:rsidRPr="0062017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460" w:type="dxa"/>
            <w:shd w:val="clear" w:color="000000" w:fill="DDEBF7"/>
            <w:vAlign w:val="center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563.35</w:t>
            </w:r>
          </w:p>
        </w:tc>
        <w:tc>
          <w:tcPr>
            <w:tcW w:w="1250" w:type="dxa"/>
            <w:shd w:val="clear" w:color="000000" w:fill="DDEBF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20.64%</w:t>
            </w:r>
          </w:p>
        </w:tc>
        <w:tc>
          <w:tcPr>
            <w:tcW w:w="990" w:type="dxa"/>
            <w:shd w:val="clear" w:color="000000" w:fill="DDEBF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22.10%</w:t>
            </w:r>
          </w:p>
        </w:tc>
        <w:tc>
          <w:tcPr>
            <w:tcW w:w="1170" w:type="dxa"/>
            <w:shd w:val="clear" w:color="000000" w:fill="DDEBF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32.84%</w:t>
            </w:r>
          </w:p>
        </w:tc>
        <w:tc>
          <w:tcPr>
            <w:tcW w:w="1260" w:type="dxa"/>
            <w:shd w:val="clear" w:color="000000" w:fill="DDEBF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39.92%</w:t>
            </w:r>
          </w:p>
        </w:tc>
      </w:tr>
      <w:tr w:rsidR="0077213E" w:rsidRPr="00620173" w:rsidTr="0077213E">
        <w:trPr>
          <w:trHeight w:val="300"/>
        </w:trPr>
        <w:tc>
          <w:tcPr>
            <w:tcW w:w="1243" w:type="dxa"/>
            <w:shd w:val="clear" w:color="000000" w:fill="2F75B5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8" w:type="dxa"/>
            <w:vMerge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7" w:type="dxa"/>
            <w:shd w:val="clear" w:color="000000" w:fill="BDD7EE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 xml:space="preserve">190 </w:t>
            </w:r>
            <w:r w:rsidR="00765959" w:rsidRPr="00765959">
              <w:rPr>
                <w:rFonts w:ascii="Calibri" w:eastAsia="Times New Roman" w:hAnsi="Calibri" w:cs="Times New Roman"/>
                <w:color w:val="000000"/>
              </w:rPr>
              <w:t>°</w:t>
            </w:r>
            <w:r w:rsidRPr="0062017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460" w:type="dxa"/>
            <w:shd w:val="clear" w:color="000000" w:fill="BDD7EE"/>
            <w:vAlign w:val="center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566.72</w:t>
            </w:r>
          </w:p>
        </w:tc>
        <w:tc>
          <w:tcPr>
            <w:tcW w:w="1250" w:type="dxa"/>
            <w:shd w:val="clear" w:color="000000" w:fill="BDD7EE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24.91%</w:t>
            </w:r>
          </w:p>
        </w:tc>
        <w:tc>
          <w:tcPr>
            <w:tcW w:w="990" w:type="dxa"/>
            <w:shd w:val="clear" w:color="000000" w:fill="BDD7EE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41.23%</w:t>
            </w:r>
          </w:p>
        </w:tc>
        <w:tc>
          <w:tcPr>
            <w:tcW w:w="1170" w:type="dxa"/>
            <w:shd w:val="clear" w:color="000000" w:fill="BDD7EE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34.00%</w:t>
            </w:r>
          </w:p>
        </w:tc>
        <w:tc>
          <w:tcPr>
            <w:tcW w:w="1260" w:type="dxa"/>
            <w:shd w:val="clear" w:color="000000" w:fill="BDD7EE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55.80%</w:t>
            </w:r>
          </w:p>
        </w:tc>
      </w:tr>
      <w:tr w:rsidR="0077213E" w:rsidRPr="00620173" w:rsidTr="0077213E">
        <w:trPr>
          <w:trHeight w:val="300"/>
        </w:trPr>
        <w:tc>
          <w:tcPr>
            <w:tcW w:w="1243" w:type="dxa"/>
            <w:vMerge w:val="restart"/>
            <w:shd w:val="clear" w:color="000000" w:fill="FFC000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>25% Formula 2 75% MDI</w:t>
            </w:r>
          </w:p>
        </w:tc>
        <w:tc>
          <w:tcPr>
            <w:tcW w:w="978" w:type="dxa"/>
            <w:vMerge w:val="restart"/>
            <w:shd w:val="clear" w:color="000000" w:fill="FFF2CC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>5 min</w:t>
            </w:r>
          </w:p>
        </w:tc>
        <w:tc>
          <w:tcPr>
            <w:tcW w:w="1627" w:type="dxa"/>
            <w:shd w:val="clear" w:color="000000" w:fill="FFD966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 xml:space="preserve">175 </w:t>
            </w:r>
            <w:r w:rsidR="00765959" w:rsidRPr="00765959">
              <w:rPr>
                <w:rFonts w:ascii="Calibri" w:eastAsia="Times New Roman" w:hAnsi="Calibri" w:cs="Times New Roman"/>
                <w:color w:val="000000"/>
              </w:rPr>
              <w:t>°</w:t>
            </w:r>
            <w:r w:rsidRPr="0062017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460" w:type="dxa"/>
            <w:shd w:val="clear" w:color="000000" w:fill="FFD966"/>
            <w:vAlign w:val="center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552.87</w:t>
            </w:r>
          </w:p>
        </w:tc>
        <w:tc>
          <w:tcPr>
            <w:tcW w:w="1250" w:type="dxa"/>
            <w:shd w:val="clear" w:color="000000" w:fill="FFD966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17.42%</w:t>
            </w:r>
          </w:p>
        </w:tc>
        <w:tc>
          <w:tcPr>
            <w:tcW w:w="990" w:type="dxa"/>
            <w:shd w:val="clear" w:color="000000" w:fill="FFD966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13.47%</w:t>
            </w:r>
          </w:p>
        </w:tc>
        <w:tc>
          <w:tcPr>
            <w:tcW w:w="1170" w:type="dxa"/>
            <w:shd w:val="clear" w:color="000000" w:fill="FFD966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38.68%</w:t>
            </w:r>
          </w:p>
        </w:tc>
        <w:tc>
          <w:tcPr>
            <w:tcW w:w="1260" w:type="dxa"/>
            <w:shd w:val="clear" w:color="000000" w:fill="FFD966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48.96%</w:t>
            </w:r>
          </w:p>
        </w:tc>
      </w:tr>
      <w:tr w:rsidR="0077213E" w:rsidRPr="00620173" w:rsidTr="0077213E">
        <w:trPr>
          <w:trHeight w:val="300"/>
        </w:trPr>
        <w:tc>
          <w:tcPr>
            <w:tcW w:w="1243" w:type="dxa"/>
            <w:vMerge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7" w:type="dxa"/>
            <w:shd w:val="clear" w:color="000000" w:fill="FFC000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 xml:space="preserve">190 </w:t>
            </w:r>
            <w:r w:rsidR="00765959" w:rsidRPr="00765959">
              <w:rPr>
                <w:rFonts w:ascii="Calibri" w:eastAsia="Times New Roman" w:hAnsi="Calibri" w:cs="Times New Roman"/>
                <w:color w:val="000000"/>
              </w:rPr>
              <w:t>°</w:t>
            </w:r>
            <w:r w:rsidRPr="0062017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460" w:type="dxa"/>
            <w:shd w:val="clear" w:color="000000" w:fill="FFC000"/>
            <w:vAlign w:val="center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557.00</w:t>
            </w:r>
          </w:p>
        </w:tc>
        <w:tc>
          <w:tcPr>
            <w:tcW w:w="1250" w:type="dxa"/>
            <w:shd w:val="clear" w:color="000000" w:fill="FFC000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26.53%</w:t>
            </w:r>
          </w:p>
        </w:tc>
        <w:tc>
          <w:tcPr>
            <w:tcW w:w="990" w:type="dxa"/>
            <w:shd w:val="clear" w:color="000000" w:fill="FFC000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44.59%</w:t>
            </w:r>
          </w:p>
        </w:tc>
        <w:tc>
          <w:tcPr>
            <w:tcW w:w="1170" w:type="dxa"/>
            <w:shd w:val="clear" w:color="000000" w:fill="FFC000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34.78%</w:t>
            </w:r>
          </w:p>
        </w:tc>
        <w:tc>
          <w:tcPr>
            <w:tcW w:w="1260" w:type="dxa"/>
            <w:shd w:val="clear" w:color="000000" w:fill="FFC000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61.10%</w:t>
            </w:r>
          </w:p>
        </w:tc>
      </w:tr>
      <w:tr w:rsidR="0077213E" w:rsidRPr="00620173" w:rsidTr="0077213E">
        <w:trPr>
          <w:trHeight w:val="300"/>
        </w:trPr>
        <w:tc>
          <w:tcPr>
            <w:tcW w:w="1243" w:type="dxa"/>
            <w:vMerge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 w:val="restart"/>
            <w:shd w:val="clear" w:color="000000" w:fill="FFE699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>10 min</w:t>
            </w:r>
          </w:p>
        </w:tc>
        <w:tc>
          <w:tcPr>
            <w:tcW w:w="1627" w:type="dxa"/>
            <w:shd w:val="clear" w:color="000000" w:fill="FFD966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 xml:space="preserve">175 </w:t>
            </w:r>
            <w:r w:rsidR="00765959" w:rsidRPr="00765959">
              <w:rPr>
                <w:rFonts w:ascii="Calibri" w:eastAsia="Times New Roman" w:hAnsi="Calibri" w:cs="Times New Roman"/>
                <w:color w:val="000000"/>
              </w:rPr>
              <w:t>°</w:t>
            </w:r>
            <w:r w:rsidRPr="0062017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460" w:type="dxa"/>
            <w:shd w:val="clear" w:color="000000" w:fill="FFD966"/>
            <w:vAlign w:val="center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561.26</w:t>
            </w:r>
          </w:p>
        </w:tc>
        <w:tc>
          <w:tcPr>
            <w:tcW w:w="1250" w:type="dxa"/>
            <w:shd w:val="clear" w:color="000000" w:fill="FFD966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21.65%</w:t>
            </w:r>
          </w:p>
        </w:tc>
        <w:tc>
          <w:tcPr>
            <w:tcW w:w="990" w:type="dxa"/>
            <w:shd w:val="clear" w:color="000000" w:fill="FFD966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24.42%</w:t>
            </w:r>
          </w:p>
        </w:tc>
        <w:tc>
          <w:tcPr>
            <w:tcW w:w="1170" w:type="dxa"/>
            <w:shd w:val="clear" w:color="000000" w:fill="FFD966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36.16%</w:t>
            </w:r>
          </w:p>
        </w:tc>
        <w:tc>
          <w:tcPr>
            <w:tcW w:w="1260" w:type="dxa"/>
            <w:shd w:val="clear" w:color="000000" w:fill="FFD966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40.46%</w:t>
            </w:r>
          </w:p>
        </w:tc>
      </w:tr>
      <w:tr w:rsidR="0077213E" w:rsidRPr="00620173" w:rsidTr="0077213E">
        <w:trPr>
          <w:trHeight w:val="300"/>
        </w:trPr>
        <w:tc>
          <w:tcPr>
            <w:tcW w:w="1243" w:type="dxa"/>
            <w:vMerge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7" w:type="dxa"/>
            <w:shd w:val="clear" w:color="000000" w:fill="FFC000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 xml:space="preserve">190 </w:t>
            </w:r>
            <w:r w:rsidR="00765959" w:rsidRPr="00765959">
              <w:rPr>
                <w:rFonts w:ascii="Calibri" w:eastAsia="Times New Roman" w:hAnsi="Calibri" w:cs="Times New Roman"/>
                <w:color w:val="000000"/>
              </w:rPr>
              <w:t>°</w:t>
            </w:r>
            <w:r w:rsidRPr="0062017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460" w:type="dxa"/>
            <w:shd w:val="clear" w:color="000000" w:fill="FFC000"/>
            <w:vAlign w:val="center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564.00</w:t>
            </w:r>
          </w:p>
        </w:tc>
        <w:tc>
          <w:tcPr>
            <w:tcW w:w="1250" w:type="dxa"/>
            <w:shd w:val="clear" w:color="000000" w:fill="FFC000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26.81%</w:t>
            </w:r>
          </w:p>
        </w:tc>
        <w:tc>
          <w:tcPr>
            <w:tcW w:w="990" w:type="dxa"/>
            <w:shd w:val="clear" w:color="000000" w:fill="FFC000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45.32%</w:t>
            </w:r>
          </w:p>
        </w:tc>
        <w:tc>
          <w:tcPr>
            <w:tcW w:w="1170" w:type="dxa"/>
            <w:shd w:val="clear" w:color="000000" w:fill="FFC000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37.29%</w:t>
            </w:r>
          </w:p>
        </w:tc>
        <w:tc>
          <w:tcPr>
            <w:tcW w:w="1260" w:type="dxa"/>
            <w:shd w:val="clear" w:color="000000" w:fill="FFC000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60.81%</w:t>
            </w:r>
          </w:p>
        </w:tc>
      </w:tr>
      <w:tr w:rsidR="0077213E" w:rsidRPr="00620173" w:rsidTr="0077213E">
        <w:trPr>
          <w:trHeight w:val="300"/>
        </w:trPr>
        <w:tc>
          <w:tcPr>
            <w:tcW w:w="1243" w:type="dxa"/>
            <w:vMerge w:val="restart"/>
            <w:shd w:val="clear" w:color="000000" w:fill="548235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>50% Formula 2 50%MDI</w:t>
            </w:r>
          </w:p>
        </w:tc>
        <w:tc>
          <w:tcPr>
            <w:tcW w:w="978" w:type="dxa"/>
            <w:vMerge w:val="restart"/>
            <w:shd w:val="clear" w:color="000000" w:fill="C6E0B4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>5 min</w:t>
            </w:r>
          </w:p>
        </w:tc>
        <w:tc>
          <w:tcPr>
            <w:tcW w:w="1627" w:type="dxa"/>
            <w:shd w:val="clear" w:color="000000" w:fill="E2EFDA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 xml:space="preserve">175 </w:t>
            </w:r>
            <w:r w:rsidR="00765959" w:rsidRPr="00765959">
              <w:rPr>
                <w:rFonts w:ascii="Calibri" w:eastAsia="Times New Roman" w:hAnsi="Calibri" w:cs="Times New Roman"/>
                <w:color w:val="000000"/>
              </w:rPr>
              <w:t>°</w:t>
            </w:r>
            <w:r w:rsidRPr="0062017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460" w:type="dxa"/>
            <w:shd w:val="clear" w:color="000000" w:fill="E2EFDA"/>
            <w:vAlign w:val="center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552.84</w:t>
            </w:r>
          </w:p>
        </w:tc>
        <w:tc>
          <w:tcPr>
            <w:tcW w:w="1250" w:type="dxa"/>
            <w:shd w:val="clear" w:color="000000" w:fill="E2EFDA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10.26%</w:t>
            </w:r>
          </w:p>
        </w:tc>
        <w:tc>
          <w:tcPr>
            <w:tcW w:w="990" w:type="dxa"/>
            <w:shd w:val="clear" w:color="000000" w:fill="E2EFDA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7.11%</w:t>
            </w:r>
          </w:p>
        </w:tc>
        <w:tc>
          <w:tcPr>
            <w:tcW w:w="1170" w:type="dxa"/>
            <w:shd w:val="clear" w:color="000000" w:fill="E2EFDA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40.38%</w:t>
            </w:r>
          </w:p>
        </w:tc>
        <w:tc>
          <w:tcPr>
            <w:tcW w:w="1260" w:type="dxa"/>
            <w:shd w:val="clear" w:color="000000" w:fill="E2EFDA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53.62%</w:t>
            </w:r>
          </w:p>
        </w:tc>
      </w:tr>
      <w:tr w:rsidR="0077213E" w:rsidRPr="00620173" w:rsidTr="0077213E">
        <w:trPr>
          <w:trHeight w:val="300"/>
        </w:trPr>
        <w:tc>
          <w:tcPr>
            <w:tcW w:w="1243" w:type="dxa"/>
            <w:vMerge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7" w:type="dxa"/>
            <w:shd w:val="clear" w:color="000000" w:fill="70AD47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 xml:space="preserve">190 </w:t>
            </w:r>
            <w:r w:rsidR="00765959" w:rsidRPr="00765959">
              <w:rPr>
                <w:rFonts w:ascii="Calibri" w:eastAsia="Times New Roman" w:hAnsi="Calibri" w:cs="Times New Roman"/>
                <w:color w:val="000000"/>
              </w:rPr>
              <w:t>°</w:t>
            </w:r>
            <w:r w:rsidRPr="0062017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460" w:type="dxa"/>
            <w:shd w:val="clear" w:color="000000" w:fill="70AD47"/>
            <w:vAlign w:val="center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550.24</w:t>
            </w:r>
          </w:p>
        </w:tc>
        <w:tc>
          <w:tcPr>
            <w:tcW w:w="1250" w:type="dxa"/>
            <w:shd w:val="clear" w:color="000000" w:fill="70AD4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40.01%</w:t>
            </w:r>
          </w:p>
        </w:tc>
        <w:tc>
          <w:tcPr>
            <w:tcW w:w="990" w:type="dxa"/>
            <w:shd w:val="clear" w:color="000000" w:fill="70AD4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68.90%</w:t>
            </w:r>
          </w:p>
        </w:tc>
        <w:tc>
          <w:tcPr>
            <w:tcW w:w="1170" w:type="dxa"/>
            <w:shd w:val="clear" w:color="000000" w:fill="70AD4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47.85%</w:t>
            </w:r>
          </w:p>
        </w:tc>
        <w:tc>
          <w:tcPr>
            <w:tcW w:w="1260" w:type="dxa"/>
            <w:shd w:val="clear" w:color="000000" w:fill="70AD4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91.20%</w:t>
            </w:r>
          </w:p>
        </w:tc>
      </w:tr>
      <w:tr w:rsidR="0077213E" w:rsidRPr="00620173" w:rsidTr="0077213E">
        <w:trPr>
          <w:trHeight w:val="300"/>
        </w:trPr>
        <w:tc>
          <w:tcPr>
            <w:tcW w:w="1243" w:type="dxa"/>
            <w:vMerge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 w:val="restart"/>
            <w:shd w:val="clear" w:color="000000" w:fill="A9D08E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>10 min</w:t>
            </w:r>
          </w:p>
        </w:tc>
        <w:tc>
          <w:tcPr>
            <w:tcW w:w="1627" w:type="dxa"/>
            <w:shd w:val="clear" w:color="000000" w:fill="E2EFDA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 xml:space="preserve">175 </w:t>
            </w:r>
            <w:r w:rsidR="00765959" w:rsidRPr="00765959">
              <w:rPr>
                <w:rFonts w:ascii="Calibri" w:eastAsia="Times New Roman" w:hAnsi="Calibri" w:cs="Times New Roman"/>
                <w:color w:val="000000"/>
              </w:rPr>
              <w:t>°</w:t>
            </w:r>
            <w:r w:rsidRPr="0062017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460" w:type="dxa"/>
            <w:shd w:val="clear" w:color="000000" w:fill="E2EFDA"/>
            <w:vAlign w:val="center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557.14</w:t>
            </w:r>
          </w:p>
        </w:tc>
        <w:tc>
          <w:tcPr>
            <w:tcW w:w="1250" w:type="dxa"/>
            <w:shd w:val="clear" w:color="000000" w:fill="E2EFDA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22.43%</w:t>
            </w:r>
          </w:p>
        </w:tc>
        <w:tc>
          <w:tcPr>
            <w:tcW w:w="990" w:type="dxa"/>
            <w:shd w:val="clear" w:color="000000" w:fill="E2EFDA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22.63%</w:t>
            </w:r>
          </w:p>
        </w:tc>
        <w:tc>
          <w:tcPr>
            <w:tcW w:w="1170" w:type="dxa"/>
            <w:shd w:val="clear" w:color="000000" w:fill="E2EFDA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43.89%</w:t>
            </w:r>
          </w:p>
        </w:tc>
        <w:tc>
          <w:tcPr>
            <w:tcW w:w="1260" w:type="dxa"/>
            <w:shd w:val="clear" w:color="000000" w:fill="E2EFDA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45.09%</w:t>
            </w:r>
          </w:p>
        </w:tc>
      </w:tr>
      <w:tr w:rsidR="0077213E" w:rsidRPr="00620173" w:rsidTr="0077213E">
        <w:trPr>
          <w:trHeight w:val="300"/>
        </w:trPr>
        <w:tc>
          <w:tcPr>
            <w:tcW w:w="1243" w:type="dxa"/>
            <w:vMerge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7" w:type="dxa"/>
            <w:shd w:val="clear" w:color="000000" w:fill="70AD47"/>
            <w:noWrap/>
            <w:vAlign w:val="center"/>
            <w:hideMark/>
          </w:tcPr>
          <w:p w:rsidR="0077213E" w:rsidRPr="00620173" w:rsidRDefault="0077213E" w:rsidP="002B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0173">
              <w:rPr>
                <w:rFonts w:ascii="Calibri" w:eastAsia="Times New Roman" w:hAnsi="Calibri" w:cs="Times New Roman"/>
                <w:color w:val="000000"/>
              </w:rPr>
              <w:t xml:space="preserve">190 </w:t>
            </w:r>
            <w:r w:rsidR="00765959" w:rsidRPr="00765959">
              <w:rPr>
                <w:rFonts w:ascii="Calibri" w:eastAsia="Times New Roman" w:hAnsi="Calibri" w:cs="Times New Roman"/>
                <w:color w:val="000000"/>
              </w:rPr>
              <w:t>°</w:t>
            </w:r>
            <w:r w:rsidRPr="0062017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460" w:type="dxa"/>
            <w:shd w:val="clear" w:color="000000" w:fill="70AD47"/>
            <w:vAlign w:val="center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569.92</w:t>
            </w:r>
          </w:p>
        </w:tc>
        <w:tc>
          <w:tcPr>
            <w:tcW w:w="1250" w:type="dxa"/>
            <w:shd w:val="clear" w:color="000000" w:fill="70AD4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28.25%</w:t>
            </w:r>
          </w:p>
        </w:tc>
        <w:tc>
          <w:tcPr>
            <w:tcW w:w="990" w:type="dxa"/>
            <w:shd w:val="clear" w:color="000000" w:fill="70AD4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40.67%</w:t>
            </w:r>
          </w:p>
        </w:tc>
        <w:tc>
          <w:tcPr>
            <w:tcW w:w="1170" w:type="dxa"/>
            <w:shd w:val="clear" w:color="000000" w:fill="70AD4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44.17%</w:t>
            </w:r>
          </w:p>
        </w:tc>
        <w:tc>
          <w:tcPr>
            <w:tcW w:w="1260" w:type="dxa"/>
            <w:shd w:val="clear" w:color="000000" w:fill="70AD47"/>
            <w:vAlign w:val="bottom"/>
          </w:tcPr>
          <w:p w:rsidR="0077213E" w:rsidRDefault="0077213E" w:rsidP="002B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57.90%</w:t>
            </w:r>
          </w:p>
        </w:tc>
      </w:tr>
    </w:tbl>
    <w:p w:rsidR="0077213E" w:rsidRDefault="0077213E" w:rsidP="00A14D13">
      <w:pPr>
        <w:jc w:val="both"/>
        <w:rPr>
          <w:rFonts w:ascii="Arial" w:hAnsi="Arial" w:cs="Arial"/>
        </w:rPr>
      </w:pPr>
    </w:p>
    <w:p w:rsidR="00A21B29" w:rsidRPr="006B3BCC" w:rsidRDefault="00A14D13" w:rsidP="006B3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research team is </w:t>
      </w:r>
      <w:r w:rsidRPr="00A14D13">
        <w:rPr>
          <w:rFonts w:ascii="Arial" w:hAnsi="Arial" w:cs="Arial"/>
        </w:rPr>
        <w:t xml:space="preserve">grateful </w:t>
      </w:r>
      <w:r>
        <w:rPr>
          <w:rFonts w:ascii="Arial" w:hAnsi="Arial" w:cs="Arial"/>
        </w:rPr>
        <w:t xml:space="preserve">to </w:t>
      </w:r>
      <w:r w:rsidRPr="00A14D13">
        <w:rPr>
          <w:rFonts w:ascii="Arial" w:hAnsi="Arial" w:cs="Arial"/>
        </w:rPr>
        <w:t xml:space="preserve">the soybean farmers and ND Soybean Council </w:t>
      </w:r>
      <w:r>
        <w:rPr>
          <w:rFonts w:ascii="Arial" w:hAnsi="Arial" w:cs="Arial"/>
        </w:rPr>
        <w:t>for providing</w:t>
      </w:r>
      <w:r w:rsidRPr="00A14D13">
        <w:rPr>
          <w:rFonts w:ascii="Arial" w:hAnsi="Arial" w:cs="Arial"/>
        </w:rPr>
        <w:t xml:space="preserve"> funding</w:t>
      </w:r>
      <w:r w:rsidR="00964F64">
        <w:rPr>
          <w:rFonts w:ascii="Arial" w:hAnsi="Arial" w:cs="Arial"/>
        </w:rPr>
        <w:t xml:space="preserve"> for this research project</w:t>
      </w:r>
      <w:r w:rsidRPr="00A14D13">
        <w:rPr>
          <w:rFonts w:ascii="Arial" w:hAnsi="Arial" w:cs="Arial"/>
        </w:rPr>
        <w:t>.</w:t>
      </w:r>
      <w:r w:rsidRPr="00A14D13">
        <w:t xml:space="preserve"> </w:t>
      </w:r>
      <w:r w:rsidRPr="00A14D13">
        <w:rPr>
          <w:rFonts w:ascii="Arial" w:hAnsi="Arial" w:cs="Arial"/>
        </w:rPr>
        <w:t xml:space="preserve">The outcomes/results of this research </w:t>
      </w:r>
      <w:r>
        <w:rPr>
          <w:rFonts w:ascii="Arial" w:hAnsi="Arial" w:cs="Arial"/>
        </w:rPr>
        <w:t>are</w:t>
      </w:r>
      <w:r w:rsidRPr="00A14D13">
        <w:rPr>
          <w:rFonts w:ascii="Arial" w:hAnsi="Arial" w:cs="Arial"/>
        </w:rPr>
        <w:t xml:space="preserve"> expected to diversify soy based products with increased demand for soybean oil</w:t>
      </w:r>
      <w:r w:rsidR="00CD509E">
        <w:rPr>
          <w:rFonts w:ascii="Arial" w:hAnsi="Arial" w:cs="Arial"/>
        </w:rPr>
        <w:t xml:space="preserve"> the principal component of the </w:t>
      </w:r>
      <w:proofErr w:type="spellStart"/>
      <w:r w:rsidR="00CD509E">
        <w:rPr>
          <w:rFonts w:ascii="Arial" w:hAnsi="Arial" w:cs="Arial"/>
        </w:rPr>
        <w:t>epoxidized</w:t>
      </w:r>
      <w:proofErr w:type="spellEnd"/>
      <w:r w:rsidR="00CD509E">
        <w:rPr>
          <w:rFonts w:ascii="Arial" w:hAnsi="Arial" w:cs="Arial"/>
        </w:rPr>
        <w:t xml:space="preserve"> sucrose </w:t>
      </w:r>
      <w:proofErr w:type="spellStart"/>
      <w:r w:rsidR="00CD509E">
        <w:rPr>
          <w:rFonts w:ascii="Arial" w:hAnsi="Arial" w:cs="Arial"/>
        </w:rPr>
        <w:t>soyate</w:t>
      </w:r>
      <w:proofErr w:type="spellEnd"/>
      <w:r w:rsidR="00CD509E">
        <w:rPr>
          <w:rFonts w:ascii="Arial" w:hAnsi="Arial" w:cs="Arial"/>
        </w:rPr>
        <w:t xml:space="preserve"> resin</w:t>
      </w:r>
      <w:r w:rsidRPr="00A14D13">
        <w:rPr>
          <w:rFonts w:ascii="Arial" w:hAnsi="Arial" w:cs="Arial"/>
        </w:rPr>
        <w:t xml:space="preserve">. </w:t>
      </w:r>
    </w:p>
    <w:sectPr w:rsidR="00A21B29" w:rsidRPr="006B3BCC" w:rsidSect="000C6924">
      <w:foot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EE" w:rsidRDefault="004A48EE" w:rsidP="001B034A">
      <w:pPr>
        <w:spacing w:after="0" w:line="240" w:lineRule="auto"/>
      </w:pPr>
      <w:r>
        <w:separator/>
      </w:r>
    </w:p>
  </w:endnote>
  <w:endnote w:type="continuationSeparator" w:id="0">
    <w:p w:rsidR="004A48EE" w:rsidRDefault="004A48EE" w:rsidP="001B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066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034A" w:rsidRDefault="001B0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9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034A" w:rsidRDefault="001B0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EE" w:rsidRDefault="004A48EE" w:rsidP="001B034A">
      <w:pPr>
        <w:spacing w:after="0" w:line="240" w:lineRule="auto"/>
      </w:pPr>
      <w:r>
        <w:separator/>
      </w:r>
    </w:p>
  </w:footnote>
  <w:footnote w:type="continuationSeparator" w:id="0">
    <w:p w:rsidR="004A48EE" w:rsidRDefault="004A48EE" w:rsidP="001B0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6FB5"/>
    <w:multiLevelType w:val="hybridMultilevel"/>
    <w:tmpl w:val="8D14A7C6"/>
    <w:lvl w:ilvl="0" w:tplc="4460826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36"/>
    <w:rsid w:val="000055DB"/>
    <w:rsid w:val="000B42B9"/>
    <w:rsid w:val="000C3885"/>
    <w:rsid w:val="000C6924"/>
    <w:rsid w:val="000E1311"/>
    <w:rsid w:val="000E6FC1"/>
    <w:rsid w:val="00107C6F"/>
    <w:rsid w:val="001124F2"/>
    <w:rsid w:val="001431ED"/>
    <w:rsid w:val="001B034A"/>
    <w:rsid w:val="001C4D1A"/>
    <w:rsid w:val="001E7992"/>
    <w:rsid w:val="00210B91"/>
    <w:rsid w:val="00250D81"/>
    <w:rsid w:val="00252B90"/>
    <w:rsid w:val="0025340C"/>
    <w:rsid w:val="00270F1A"/>
    <w:rsid w:val="002861E0"/>
    <w:rsid w:val="002A35CE"/>
    <w:rsid w:val="002F5061"/>
    <w:rsid w:val="00320C58"/>
    <w:rsid w:val="003A2750"/>
    <w:rsid w:val="003A6109"/>
    <w:rsid w:val="003C00A5"/>
    <w:rsid w:val="00400FD6"/>
    <w:rsid w:val="0040199D"/>
    <w:rsid w:val="00406C4B"/>
    <w:rsid w:val="0042208E"/>
    <w:rsid w:val="00431AA3"/>
    <w:rsid w:val="00484CAC"/>
    <w:rsid w:val="004A11AB"/>
    <w:rsid w:val="004A48EE"/>
    <w:rsid w:val="004C4C36"/>
    <w:rsid w:val="004F32BB"/>
    <w:rsid w:val="00522F2B"/>
    <w:rsid w:val="005B39BC"/>
    <w:rsid w:val="0065093F"/>
    <w:rsid w:val="00697D3F"/>
    <w:rsid w:val="006B3BCC"/>
    <w:rsid w:val="006C1F04"/>
    <w:rsid w:val="00716FEE"/>
    <w:rsid w:val="00765959"/>
    <w:rsid w:val="0077213E"/>
    <w:rsid w:val="0078342B"/>
    <w:rsid w:val="007B79A4"/>
    <w:rsid w:val="007C3F0A"/>
    <w:rsid w:val="007C51B5"/>
    <w:rsid w:val="007E427E"/>
    <w:rsid w:val="0081015D"/>
    <w:rsid w:val="00850805"/>
    <w:rsid w:val="00885C2A"/>
    <w:rsid w:val="00893C44"/>
    <w:rsid w:val="00895A8C"/>
    <w:rsid w:val="008F2532"/>
    <w:rsid w:val="0091583E"/>
    <w:rsid w:val="00944201"/>
    <w:rsid w:val="00961F9D"/>
    <w:rsid w:val="00964F64"/>
    <w:rsid w:val="00982DD9"/>
    <w:rsid w:val="0099756B"/>
    <w:rsid w:val="009A460A"/>
    <w:rsid w:val="009B7842"/>
    <w:rsid w:val="00A1416A"/>
    <w:rsid w:val="00A148DC"/>
    <w:rsid w:val="00A14D13"/>
    <w:rsid w:val="00A21B29"/>
    <w:rsid w:val="00A536D0"/>
    <w:rsid w:val="00AB3AD6"/>
    <w:rsid w:val="00AB7C8F"/>
    <w:rsid w:val="00B20BFA"/>
    <w:rsid w:val="00B700BA"/>
    <w:rsid w:val="00B77999"/>
    <w:rsid w:val="00BC18EF"/>
    <w:rsid w:val="00BE6AA8"/>
    <w:rsid w:val="00BF3FEC"/>
    <w:rsid w:val="00C162E3"/>
    <w:rsid w:val="00C62150"/>
    <w:rsid w:val="00C62345"/>
    <w:rsid w:val="00CA5226"/>
    <w:rsid w:val="00CD509E"/>
    <w:rsid w:val="00D00196"/>
    <w:rsid w:val="00D16EE5"/>
    <w:rsid w:val="00D21905"/>
    <w:rsid w:val="00D33148"/>
    <w:rsid w:val="00D626AA"/>
    <w:rsid w:val="00DB05D0"/>
    <w:rsid w:val="00DD0933"/>
    <w:rsid w:val="00DF217C"/>
    <w:rsid w:val="00DF344B"/>
    <w:rsid w:val="00E63C11"/>
    <w:rsid w:val="00E749F7"/>
    <w:rsid w:val="00E86D7A"/>
    <w:rsid w:val="00EA11E9"/>
    <w:rsid w:val="00EA5D67"/>
    <w:rsid w:val="00EB0755"/>
    <w:rsid w:val="00EC0DC1"/>
    <w:rsid w:val="00ED459B"/>
    <w:rsid w:val="00F1047D"/>
    <w:rsid w:val="00F567BF"/>
    <w:rsid w:val="00F77964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F108"/>
  <w15:docId w15:val="{77957F27-2118-4624-AE8A-CBCDCCCC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C36"/>
    <w:pPr>
      <w:ind w:left="720"/>
      <w:contextualSpacing/>
    </w:pPr>
  </w:style>
  <w:style w:type="paragraph" w:styleId="NoSpacing">
    <w:name w:val="No Spacing"/>
    <w:uiPriority w:val="1"/>
    <w:qFormat/>
    <w:rsid w:val="00E86D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0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34A"/>
  </w:style>
  <w:style w:type="paragraph" w:styleId="Footer">
    <w:name w:val="footer"/>
    <w:basedOn w:val="Normal"/>
    <w:link w:val="FooterChar"/>
    <w:uiPriority w:val="99"/>
    <w:unhideWhenUsed/>
    <w:rsid w:val="001B0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Lap Shear Mean</a:t>
            </a:r>
            <a:r>
              <a:rPr lang="en-US" baseline="0"/>
              <a:t> Stress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4"/>
          <c:order val="0"/>
          <c:tx>
            <c:v>165C for 45min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Sheet3!$D$100:$D$115</c:f>
              <c:strCache>
                <c:ptCount val="13"/>
                <c:pt idx="0">
                  <c:v>Formula 1</c:v>
                </c:pt>
                <c:pt idx="1">
                  <c:v>Formula 2</c:v>
                </c:pt>
                <c:pt idx="2">
                  <c:v>Formula 3</c:v>
                </c:pt>
                <c:pt idx="3">
                  <c:v>Formula 5</c:v>
                </c:pt>
                <c:pt idx="4">
                  <c:v>Formula 6</c:v>
                </c:pt>
                <c:pt idx="5">
                  <c:v>Formula 7</c:v>
                </c:pt>
                <c:pt idx="6">
                  <c:v>Formula 14</c:v>
                </c:pt>
                <c:pt idx="7">
                  <c:v>25Form2-75MDI</c:v>
                </c:pt>
                <c:pt idx="8">
                  <c:v>50Form2-50MDI</c:v>
                </c:pt>
                <c:pt idx="9">
                  <c:v>75Form2-25MDI</c:v>
                </c:pt>
                <c:pt idx="10">
                  <c:v>50ESS-50MDI</c:v>
                </c:pt>
                <c:pt idx="11">
                  <c:v>75ESS-25MDI</c:v>
                </c:pt>
                <c:pt idx="12">
                  <c:v>MDI</c:v>
                </c:pt>
              </c:strCache>
              <c:extLst/>
            </c:strRef>
          </c:cat>
          <c:val>
            <c:numRef>
              <c:f>(Sheet3!$Q$9,Sheet3!$Q$10,Sheet3!$Q$11,Sheet3!$Q$19,Sheet3!$Q$20,Sheet3!$Q$21,Sheet3!$H$2,Sheet3!$H$3,Sheet3!$O$8)</c:f>
              <c:numCache>
                <c:formatCode>General</c:formatCode>
                <c:ptCount val="6"/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B742-470F-9EA0-9DFAB949B31C}"/>
            </c:ext>
          </c:extLst>
        </c:ser>
        <c:ser>
          <c:idx val="0"/>
          <c:order val="1"/>
          <c:tx>
            <c:v>175C for 5 min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Sheet3!$D$100:$D$115</c:f>
              <c:strCache>
                <c:ptCount val="7"/>
                <c:pt idx="0">
                  <c:v>Formula 1</c:v>
                </c:pt>
                <c:pt idx="1">
                  <c:v>Formula 2</c:v>
                </c:pt>
                <c:pt idx="2">
                  <c:v>Formula 3</c:v>
                </c:pt>
                <c:pt idx="3">
                  <c:v>Formula 5</c:v>
                </c:pt>
                <c:pt idx="4">
                  <c:v>Formula 6</c:v>
                </c:pt>
                <c:pt idx="5">
                  <c:v>Formula 7</c:v>
                </c:pt>
                <c:pt idx="6">
                  <c:v>MDI</c:v>
                </c:pt>
              </c:strCache>
              <c:extLst/>
            </c:strRef>
          </c:cat>
          <c:val>
            <c:numRef>
              <c:f>Sheet3!$H$4:$H$19</c:f>
              <c:numCache>
                <c:formatCode>General</c:formatCode>
                <c:ptCount val="7"/>
                <c:pt idx="0">
                  <c:v>0.96282999999999996</c:v>
                </c:pt>
                <c:pt idx="1">
                  <c:v>1.39093</c:v>
                </c:pt>
                <c:pt idx="2">
                  <c:v>0.70960999999999996</c:v>
                </c:pt>
                <c:pt idx="3">
                  <c:v>0</c:v>
                </c:pt>
                <c:pt idx="4">
                  <c:v>0.17613000000000001</c:v>
                </c:pt>
                <c:pt idx="5">
                  <c:v>0</c:v>
                </c:pt>
                <c:pt idx="6">
                  <c:v>3.1909273333333328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B742-470F-9EA0-9DFAB949B31C}"/>
            </c:ext>
          </c:extLst>
        </c:ser>
        <c:ser>
          <c:idx val="1"/>
          <c:order val="2"/>
          <c:tx>
            <c:v>175C for 10min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Sheet3!$D$100:$D$115</c:f>
              <c:strCache>
                <c:ptCount val="7"/>
                <c:pt idx="0">
                  <c:v>Formula 1</c:v>
                </c:pt>
                <c:pt idx="1">
                  <c:v>Formula 2</c:v>
                </c:pt>
                <c:pt idx="2">
                  <c:v>Formula 3</c:v>
                </c:pt>
                <c:pt idx="3">
                  <c:v>Formula 5</c:v>
                </c:pt>
                <c:pt idx="4">
                  <c:v>Formula 6</c:v>
                </c:pt>
                <c:pt idx="5">
                  <c:v>Formula 7</c:v>
                </c:pt>
                <c:pt idx="6">
                  <c:v>MDI</c:v>
                </c:pt>
              </c:strCache>
              <c:extLst/>
            </c:strRef>
          </c:cat>
          <c:val>
            <c:numRef>
              <c:f>Sheet3!$H$20:$H$35</c:f>
              <c:numCache>
                <c:formatCode>General</c:formatCode>
                <c:ptCount val="7"/>
                <c:pt idx="0">
                  <c:v>0</c:v>
                </c:pt>
                <c:pt idx="1">
                  <c:v>1.3918999999999999</c:v>
                </c:pt>
                <c:pt idx="2">
                  <c:v>0.86909000000000003</c:v>
                </c:pt>
                <c:pt idx="3">
                  <c:v>0.60643999999999998</c:v>
                </c:pt>
                <c:pt idx="4">
                  <c:v>0.86765999999999999</c:v>
                </c:pt>
                <c:pt idx="5">
                  <c:v>0.61695999999999995</c:v>
                </c:pt>
                <c:pt idx="6">
                  <c:v>3.2865723076923081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B742-470F-9EA0-9DFAB949B31C}"/>
            </c:ext>
          </c:extLst>
        </c:ser>
        <c:ser>
          <c:idx val="2"/>
          <c:order val="3"/>
          <c:tx>
            <c:v>190C for 5min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Sheet3!$D$100:$D$115</c:f>
              <c:strCache>
                <c:ptCount val="7"/>
                <c:pt idx="0">
                  <c:v>Formula 1</c:v>
                </c:pt>
                <c:pt idx="1">
                  <c:v>Formula 2</c:v>
                </c:pt>
                <c:pt idx="2">
                  <c:v>Formula 3</c:v>
                </c:pt>
                <c:pt idx="3">
                  <c:v>Formula 5</c:v>
                </c:pt>
                <c:pt idx="4">
                  <c:v>Formula 6</c:v>
                </c:pt>
                <c:pt idx="5">
                  <c:v>Formula 7</c:v>
                </c:pt>
                <c:pt idx="6">
                  <c:v>MDI</c:v>
                </c:pt>
              </c:strCache>
              <c:extLst/>
            </c:strRef>
          </c:cat>
          <c:val>
            <c:numRef>
              <c:f>Sheet3!$H$36:$H$51</c:f>
              <c:numCache>
                <c:formatCode>General</c:formatCode>
                <c:ptCount val="7"/>
                <c:pt idx="0">
                  <c:v>1.15316</c:v>
                </c:pt>
                <c:pt idx="1">
                  <c:v>1.4813499999999999</c:v>
                </c:pt>
                <c:pt idx="2">
                  <c:v>1.06026</c:v>
                </c:pt>
                <c:pt idx="3">
                  <c:v>0.67671999999999999</c:v>
                </c:pt>
                <c:pt idx="4">
                  <c:v>0.95209999999999995</c:v>
                </c:pt>
                <c:pt idx="5">
                  <c:v>0.76454999999999995</c:v>
                </c:pt>
                <c:pt idx="6">
                  <c:v>2.9352611764705885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B742-470F-9EA0-9DFAB949B31C}"/>
            </c:ext>
          </c:extLst>
        </c:ser>
        <c:ser>
          <c:idx val="3"/>
          <c:order val="4"/>
          <c:tx>
            <c:v>190C for 10min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Sheet3!$D$100:$D$115</c:f>
              <c:strCache>
                <c:ptCount val="7"/>
                <c:pt idx="0">
                  <c:v>Formula 1</c:v>
                </c:pt>
                <c:pt idx="1">
                  <c:v>Formula 2</c:v>
                </c:pt>
                <c:pt idx="2">
                  <c:v>Formula 3</c:v>
                </c:pt>
                <c:pt idx="3">
                  <c:v>Formula 5</c:v>
                </c:pt>
                <c:pt idx="4">
                  <c:v>Formula 6</c:v>
                </c:pt>
                <c:pt idx="5">
                  <c:v>Formula 7</c:v>
                </c:pt>
                <c:pt idx="6">
                  <c:v>MDI</c:v>
                </c:pt>
              </c:strCache>
              <c:extLst/>
            </c:strRef>
          </c:cat>
          <c:val>
            <c:numRef>
              <c:f>Sheet3!$H$52:$H$67</c:f>
              <c:numCache>
                <c:formatCode>General</c:formatCode>
                <c:ptCount val="7"/>
                <c:pt idx="0">
                  <c:v>1.34741</c:v>
                </c:pt>
                <c:pt idx="1">
                  <c:v>1.80613</c:v>
                </c:pt>
                <c:pt idx="2">
                  <c:v>1.08335</c:v>
                </c:pt>
                <c:pt idx="3">
                  <c:v>0.73968</c:v>
                </c:pt>
                <c:pt idx="4">
                  <c:v>1.02647</c:v>
                </c:pt>
                <c:pt idx="5">
                  <c:v>0.83716999999999997</c:v>
                </c:pt>
                <c:pt idx="6">
                  <c:v>2.773718181818182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B742-470F-9EA0-9DFAB949B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0498720"/>
        <c:axId val="320499048"/>
      </c:barChart>
      <c:catAx>
        <c:axId val="32049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499048"/>
        <c:crosses val="autoZero"/>
        <c:auto val="1"/>
        <c:lblAlgn val="ctr"/>
        <c:lblOffset val="100"/>
        <c:noMultiLvlLbl val="0"/>
      </c:catAx>
      <c:valAx>
        <c:axId val="320499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Stress (MPa)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498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842276158779126"/>
          <c:y val="0.289092789021207"/>
          <c:w val="0.42461206266742429"/>
          <c:h val="0.437146284448818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Lap Shear Mean</a:t>
            </a:r>
            <a:r>
              <a:rPr lang="en-US" baseline="0"/>
              <a:t> Stress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1"/>
          <c:tx>
            <c:v>175C for 5 min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Sheet3!$C$36:$C$51</c:f>
              <c:strCache>
                <c:ptCount val="4"/>
                <c:pt idx="0">
                  <c:v>25Form2-75MDI</c:v>
                </c:pt>
                <c:pt idx="1">
                  <c:v>50Form2-50MDI</c:v>
                </c:pt>
                <c:pt idx="2">
                  <c:v>75Form2-25MDI</c:v>
                </c:pt>
                <c:pt idx="3">
                  <c:v>MDI</c:v>
                </c:pt>
              </c:strCache>
              <c:extLst/>
            </c:strRef>
          </c:cat>
          <c:val>
            <c:numRef>
              <c:f>Sheet3!$H$4:$H$19</c:f>
              <c:numCache>
                <c:formatCode>General</c:formatCode>
                <c:ptCount val="4"/>
                <c:pt idx="0">
                  <c:v>3.20974</c:v>
                </c:pt>
                <c:pt idx="1">
                  <c:v>3.0521020000000001</c:v>
                </c:pt>
                <c:pt idx="2">
                  <c:v>0.92234000000000005</c:v>
                </c:pt>
                <c:pt idx="3">
                  <c:v>3.1909273333333328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985-4C0F-BEDB-C19B84C1BF63}"/>
            </c:ext>
          </c:extLst>
        </c:ser>
        <c:ser>
          <c:idx val="1"/>
          <c:order val="2"/>
          <c:tx>
            <c:v>175C for 10min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Sheet3!$C$36:$C$51</c:f>
              <c:strCache>
                <c:ptCount val="4"/>
                <c:pt idx="0">
                  <c:v>25Form2-75MDI</c:v>
                </c:pt>
                <c:pt idx="1">
                  <c:v>50Form2-50MDI</c:v>
                </c:pt>
                <c:pt idx="2">
                  <c:v>75Form2-25MDI</c:v>
                </c:pt>
                <c:pt idx="3">
                  <c:v>MDI</c:v>
                </c:pt>
              </c:strCache>
              <c:extLst/>
            </c:strRef>
          </c:cat>
          <c:val>
            <c:numRef>
              <c:f>Sheet3!$H$20:$H$35</c:f>
              <c:numCache>
                <c:formatCode>General</c:formatCode>
                <c:ptCount val="4"/>
                <c:pt idx="0">
                  <c:v>2.9463200000000001</c:v>
                </c:pt>
                <c:pt idx="1">
                  <c:v>2.8204224999999998</c:v>
                </c:pt>
                <c:pt idx="2">
                  <c:v>1.5961399999999999</c:v>
                </c:pt>
                <c:pt idx="3">
                  <c:v>3.2865723076923081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985-4C0F-BEDB-C19B84C1BF63}"/>
            </c:ext>
          </c:extLst>
        </c:ser>
        <c:ser>
          <c:idx val="2"/>
          <c:order val="3"/>
          <c:tx>
            <c:v>190C for 5min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Sheet3!$C$36:$C$51</c:f>
              <c:strCache>
                <c:ptCount val="4"/>
                <c:pt idx="0">
                  <c:v>25Form2-75MDI</c:v>
                </c:pt>
                <c:pt idx="1">
                  <c:v>50Form2-50MDI</c:v>
                </c:pt>
                <c:pt idx="2">
                  <c:v>75Form2-25MDI</c:v>
                </c:pt>
                <c:pt idx="3">
                  <c:v>MDI</c:v>
                </c:pt>
              </c:strCache>
              <c:extLst/>
            </c:strRef>
          </c:cat>
          <c:val>
            <c:numRef>
              <c:f>Sheet3!$H$36:$H$51</c:f>
              <c:numCache>
                <c:formatCode>General</c:formatCode>
                <c:ptCount val="4"/>
                <c:pt idx="0">
                  <c:v>3.1008850000000003</c:v>
                </c:pt>
                <c:pt idx="1">
                  <c:v>2.4365200000000002</c:v>
                </c:pt>
                <c:pt idx="2">
                  <c:v>0.76080999999999999</c:v>
                </c:pt>
                <c:pt idx="3">
                  <c:v>2.9352611764705885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0985-4C0F-BEDB-C19B84C1BF63}"/>
            </c:ext>
          </c:extLst>
        </c:ser>
        <c:ser>
          <c:idx val="3"/>
          <c:order val="4"/>
          <c:tx>
            <c:v>190C for 10min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Sheet3!$C$36:$C$51</c:f>
              <c:strCache>
                <c:ptCount val="4"/>
                <c:pt idx="0">
                  <c:v>25Form2-75MDI</c:v>
                </c:pt>
                <c:pt idx="1">
                  <c:v>50Form2-50MDI</c:v>
                </c:pt>
                <c:pt idx="2">
                  <c:v>75Form2-25MDI</c:v>
                </c:pt>
                <c:pt idx="3">
                  <c:v>MDI</c:v>
                </c:pt>
              </c:strCache>
              <c:extLst/>
            </c:strRef>
          </c:cat>
          <c:val>
            <c:numRef>
              <c:f>Sheet3!$H$52:$H$67</c:f>
              <c:numCache>
                <c:formatCode>General</c:formatCode>
                <c:ptCount val="4"/>
                <c:pt idx="0">
                  <c:v>2.4921120000000001</c:v>
                </c:pt>
                <c:pt idx="1">
                  <c:v>1.8586400000000001</c:v>
                </c:pt>
                <c:pt idx="2">
                  <c:v>1.1893100000000001</c:v>
                </c:pt>
                <c:pt idx="3">
                  <c:v>2.773718181818182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0985-4C0F-BEDB-C19B84C1BF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0498720"/>
        <c:axId val="320499048"/>
        <c:extLst>
          <c:ext xmlns:c15="http://schemas.microsoft.com/office/drawing/2012/chart" uri="{02D57815-91ED-43cb-92C2-25804820EDAC}">
            <c15:filteredBarSeries>
              <c15:ser>
                <c:idx val="4"/>
                <c:order val="0"/>
                <c:tx>
                  <c:v>165C for 45min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Sheet3!$C$36:$C$51</c15:sqref>
                        </c15:formulaRef>
                      </c:ext>
                    </c:extLst>
                    <c:strCache>
                      <c:ptCount val="7"/>
                      <c:pt idx="0">
                        <c:v>Formula 14</c:v>
                      </c:pt>
                      <c:pt idx="1">
                        <c:v>25Form2-75MDI</c:v>
                      </c:pt>
                      <c:pt idx="2">
                        <c:v>50Form2-50MDI</c:v>
                      </c:pt>
                      <c:pt idx="3">
                        <c:v>75Form2-25MDI</c:v>
                      </c:pt>
                      <c:pt idx="4">
                        <c:v>50ESS-50MDI</c:v>
                      </c:pt>
                      <c:pt idx="5">
                        <c:v>75ESS-25MDI</c:v>
                      </c:pt>
                      <c:pt idx="6">
                        <c:v>MDI</c:v>
                      </c:pt>
                    </c:strCache>
                  </c:strRef>
                </c:cat>
                <c:val>
                  <c:numLit>
                    <c:ptCount val="0"/>
                  </c:numLit>
                </c:val>
                <c:extLst>
                  <c:ext xmlns:c16="http://schemas.microsoft.com/office/drawing/2014/chart" uri="{C3380CC4-5D6E-409C-BE32-E72D297353CC}">
                    <c16:uniqueId val="{00000004-0985-4C0F-BEDB-C19B84C1BF63}"/>
                  </c:ext>
                </c:extLst>
              </c15:ser>
            </c15:filteredBarSeries>
          </c:ext>
        </c:extLst>
      </c:barChart>
      <c:catAx>
        <c:axId val="32049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499048"/>
        <c:crosses val="autoZero"/>
        <c:auto val="1"/>
        <c:lblAlgn val="ctr"/>
        <c:lblOffset val="100"/>
        <c:noMultiLvlLbl val="0"/>
      </c:catAx>
      <c:valAx>
        <c:axId val="320499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Stress (MPa)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498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886488188976381"/>
          <c:y val="0.25406003937007876"/>
          <c:w val="0.28435228318973216"/>
          <c:h val="0.3906380268642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 Tech Support</dc:creator>
  <cp:lastModifiedBy>Dilpreet Bajwa</cp:lastModifiedBy>
  <cp:revision>5</cp:revision>
  <dcterms:created xsi:type="dcterms:W3CDTF">2018-01-31T20:20:00Z</dcterms:created>
  <dcterms:modified xsi:type="dcterms:W3CDTF">2018-01-31T20:22:00Z</dcterms:modified>
</cp:coreProperties>
</file>