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4BC" w:rsidRPr="00E44EE3" w:rsidRDefault="00C454BC" w:rsidP="00C454BC">
      <w:pPr>
        <w:jc w:val="center"/>
        <w:rPr>
          <w:rFonts w:ascii="Times New Roman" w:hAnsi="Times New Roman" w:cs="Times New Roman"/>
          <w:b/>
        </w:rPr>
      </w:pPr>
      <w:bookmarkStart w:id="0" w:name="_GoBack"/>
      <w:bookmarkEnd w:id="0"/>
      <w:r w:rsidRPr="00E44EE3">
        <w:rPr>
          <w:rFonts w:ascii="Times New Roman" w:hAnsi="Times New Roman" w:cs="Times New Roman"/>
          <w:b/>
        </w:rPr>
        <w:t>Technical Report</w:t>
      </w:r>
    </w:p>
    <w:p w:rsidR="00A74133" w:rsidRPr="00E44EE3" w:rsidRDefault="001B1500">
      <w:pPr>
        <w:rPr>
          <w:rFonts w:ascii="Times New Roman" w:hAnsi="Times New Roman" w:cs="Times New Roman"/>
          <w:b/>
        </w:rPr>
      </w:pPr>
      <w:r w:rsidRPr="00E44EE3">
        <w:rPr>
          <w:rFonts w:ascii="Times New Roman" w:hAnsi="Times New Roman" w:cs="Times New Roman"/>
          <w:b/>
        </w:rPr>
        <w:t>Seeding Date and Cultivar Influence on Soybean Performance in Northeastern North Dakota</w:t>
      </w:r>
      <w:r w:rsidR="00886DB9">
        <w:rPr>
          <w:rFonts w:ascii="Times New Roman" w:hAnsi="Times New Roman" w:cs="Times New Roman"/>
          <w:b/>
        </w:rPr>
        <w:t xml:space="preserve"> - 2018</w:t>
      </w:r>
    </w:p>
    <w:p w:rsidR="001B1500" w:rsidRPr="00E44EE3" w:rsidRDefault="00C454BC">
      <w:pPr>
        <w:rPr>
          <w:rFonts w:ascii="Times New Roman" w:hAnsi="Times New Roman" w:cs="Times New Roman"/>
          <w:i/>
        </w:rPr>
      </w:pPr>
      <w:r w:rsidRPr="00E44EE3">
        <w:rPr>
          <w:rFonts w:ascii="Times New Roman" w:hAnsi="Times New Roman" w:cs="Times New Roman"/>
          <w:i/>
        </w:rPr>
        <w:t xml:space="preserve">Principle Investigator:  </w:t>
      </w:r>
      <w:r w:rsidR="001B1500" w:rsidRPr="00E44EE3">
        <w:rPr>
          <w:rFonts w:ascii="Times New Roman" w:hAnsi="Times New Roman" w:cs="Times New Roman"/>
          <w:i/>
        </w:rPr>
        <w:t>Bryan Hanson</w:t>
      </w:r>
      <w:r w:rsidR="00D918D1" w:rsidRPr="00E44EE3">
        <w:rPr>
          <w:rFonts w:ascii="Times New Roman" w:hAnsi="Times New Roman" w:cs="Times New Roman"/>
          <w:i/>
        </w:rPr>
        <w:t xml:space="preserve"> – NDSU Langdon Research Extension Center</w:t>
      </w:r>
    </w:p>
    <w:p w:rsidR="00D918D1" w:rsidRPr="00E44EE3" w:rsidRDefault="00D918D1" w:rsidP="009D703E">
      <w:pPr>
        <w:spacing w:line="240" w:lineRule="auto"/>
        <w:contextualSpacing/>
        <w:rPr>
          <w:rFonts w:ascii="Times New Roman" w:hAnsi="Times New Roman" w:cs="Times New Roman"/>
          <w:b/>
        </w:rPr>
      </w:pPr>
      <w:r w:rsidRPr="00E44EE3">
        <w:rPr>
          <w:rFonts w:ascii="Times New Roman" w:hAnsi="Times New Roman" w:cs="Times New Roman"/>
          <w:b/>
        </w:rPr>
        <w:t>Objectives:</w:t>
      </w:r>
    </w:p>
    <w:p w:rsidR="00CE0819" w:rsidRPr="00E44EE3" w:rsidRDefault="00CE0819" w:rsidP="00CE0819">
      <w:pPr>
        <w:rPr>
          <w:rFonts w:ascii="Times New Roman" w:hAnsi="Times New Roman" w:cs="Times New Roman"/>
        </w:rPr>
      </w:pPr>
      <w:r w:rsidRPr="00E44EE3">
        <w:rPr>
          <w:rFonts w:ascii="Times New Roman" w:hAnsi="Times New Roman" w:cs="Times New Roman"/>
          <w:b/>
        </w:rPr>
        <w:t>1.</w:t>
      </w:r>
      <w:r w:rsidRPr="00E44EE3">
        <w:rPr>
          <w:rFonts w:ascii="Times New Roman" w:hAnsi="Times New Roman" w:cs="Times New Roman"/>
        </w:rPr>
        <w:t xml:space="preserve"> Improve soybean performance for North Dakota producers in the northern counties of northeast North Dakota by determining the relationship between cultivar maturity and seeding date on soybean yield and agronomic traits.</w:t>
      </w:r>
    </w:p>
    <w:p w:rsidR="00D918D1" w:rsidRPr="00E44EE3" w:rsidRDefault="00CE0819" w:rsidP="00BA347A">
      <w:pPr>
        <w:rPr>
          <w:b/>
        </w:rPr>
      </w:pPr>
      <w:r w:rsidRPr="00E44EE3">
        <w:rPr>
          <w:rFonts w:ascii="Times New Roman" w:hAnsi="Times New Roman" w:cs="Times New Roman"/>
          <w:b/>
        </w:rPr>
        <w:t>2.</w:t>
      </w:r>
      <w:r w:rsidRPr="00E44EE3">
        <w:rPr>
          <w:rFonts w:ascii="Times New Roman" w:hAnsi="Times New Roman" w:cs="Times New Roman"/>
        </w:rPr>
        <w:t xml:space="preserve">  To provide RMA (Risk Management Agency) and crop insurance agents data on the effects of replanting past the final planting date (June 10) on yield and quality of soybeans in the northern most counties of northeast North Dakota.</w:t>
      </w:r>
    </w:p>
    <w:p w:rsidR="009D703E" w:rsidRPr="00E44EE3" w:rsidRDefault="009D703E" w:rsidP="009D703E">
      <w:pPr>
        <w:spacing w:line="240" w:lineRule="auto"/>
        <w:contextualSpacing/>
        <w:rPr>
          <w:rFonts w:ascii="Times New Roman" w:hAnsi="Times New Roman" w:cs="Times New Roman"/>
          <w:b/>
          <w:u w:val="single"/>
        </w:rPr>
      </w:pPr>
      <w:r w:rsidRPr="00E44EE3">
        <w:rPr>
          <w:rFonts w:ascii="Times New Roman" w:hAnsi="Times New Roman" w:cs="Times New Roman"/>
          <w:b/>
          <w:u w:val="single"/>
        </w:rPr>
        <w:t>Methodology</w:t>
      </w:r>
    </w:p>
    <w:p w:rsidR="009D703E" w:rsidRPr="00E44EE3" w:rsidRDefault="009D703E" w:rsidP="009D703E">
      <w:pPr>
        <w:spacing w:line="240" w:lineRule="auto"/>
        <w:contextualSpacing/>
        <w:rPr>
          <w:rFonts w:ascii="Times New Roman" w:hAnsi="Times New Roman" w:cs="Times New Roman"/>
        </w:rPr>
      </w:pPr>
      <w:r w:rsidRPr="00E44EE3">
        <w:rPr>
          <w:rFonts w:ascii="Times New Roman" w:hAnsi="Times New Roman" w:cs="Times New Roman"/>
        </w:rPr>
        <w:t xml:space="preserve">The </w:t>
      </w:r>
      <w:r w:rsidR="005E4B16">
        <w:rPr>
          <w:rFonts w:ascii="Times New Roman" w:hAnsi="Times New Roman" w:cs="Times New Roman"/>
        </w:rPr>
        <w:t xml:space="preserve">experimental </w:t>
      </w:r>
      <w:r w:rsidRPr="00E44EE3">
        <w:rPr>
          <w:rFonts w:ascii="Times New Roman" w:hAnsi="Times New Roman" w:cs="Times New Roman"/>
        </w:rPr>
        <w:t xml:space="preserve">field design was a randomized complete block in a split-plot arrangement with four replications.  </w:t>
      </w:r>
      <w:r w:rsidR="000E7275">
        <w:rPr>
          <w:rFonts w:ascii="Times New Roman" w:hAnsi="Times New Roman" w:cs="Times New Roman"/>
        </w:rPr>
        <w:t xml:space="preserve">Soil type was a </w:t>
      </w:r>
      <w:proofErr w:type="spellStart"/>
      <w:r w:rsidR="000E7275">
        <w:rPr>
          <w:rFonts w:ascii="Times New Roman" w:hAnsi="Times New Roman" w:cs="Times New Roman"/>
        </w:rPr>
        <w:t>Svea</w:t>
      </w:r>
      <w:proofErr w:type="spellEnd"/>
      <w:r w:rsidR="000E7275">
        <w:rPr>
          <w:rFonts w:ascii="Times New Roman" w:hAnsi="Times New Roman" w:cs="Times New Roman"/>
        </w:rPr>
        <w:t>-Barnes loam</w:t>
      </w:r>
      <w:r w:rsidR="00BA102D">
        <w:rPr>
          <w:rFonts w:ascii="Times New Roman" w:hAnsi="Times New Roman" w:cs="Times New Roman"/>
        </w:rPr>
        <w:t xml:space="preserve">.  Soil tests indicated 22 </w:t>
      </w:r>
      <w:proofErr w:type="spellStart"/>
      <w:r w:rsidR="00BA102D">
        <w:rPr>
          <w:rFonts w:ascii="Times New Roman" w:hAnsi="Times New Roman" w:cs="Times New Roman"/>
        </w:rPr>
        <w:t>lbs</w:t>
      </w:r>
      <w:proofErr w:type="spellEnd"/>
      <w:r w:rsidR="00BA102D">
        <w:rPr>
          <w:rFonts w:ascii="Times New Roman" w:hAnsi="Times New Roman" w:cs="Times New Roman"/>
        </w:rPr>
        <w:t xml:space="preserve"> N/a, 13 ppm P</w:t>
      </w:r>
      <w:r w:rsidR="00BD1623">
        <w:rPr>
          <w:rFonts w:ascii="Times New Roman" w:hAnsi="Times New Roman" w:cs="Times New Roman"/>
        </w:rPr>
        <w:t>,</w:t>
      </w:r>
      <w:r w:rsidR="005E7F42">
        <w:rPr>
          <w:rFonts w:ascii="Times New Roman" w:hAnsi="Times New Roman" w:cs="Times New Roman"/>
        </w:rPr>
        <w:t xml:space="preserve"> 283 ppm K</w:t>
      </w:r>
      <w:r w:rsidR="00BD1623">
        <w:rPr>
          <w:rFonts w:ascii="Times New Roman" w:hAnsi="Times New Roman" w:cs="Times New Roman"/>
        </w:rPr>
        <w:t>,</w:t>
      </w:r>
      <w:r w:rsidR="00BA102D">
        <w:rPr>
          <w:rFonts w:ascii="Times New Roman" w:hAnsi="Times New Roman" w:cs="Times New Roman"/>
        </w:rPr>
        <w:t xml:space="preserve"> </w:t>
      </w:r>
      <w:r w:rsidR="008F2052">
        <w:rPr>
          <w:rFonts w:ascii="Times New Roman" w:hAnsi="Times New Roman" w:cs="Times New Roman"/>
        </w:rPr>
        <w:t>pH</w:t>
      </w:r>
      <w:r w:rsidR="005E4B16">
        <w:rPr>
          <w:rFonts w:ascii="Times New Roman" w:hAnsi="Times New Roman" w:cs="Times New Roman"/>
        </w:rPr>
        <w:t xml:space="preserve"> 6.7</w:t>
      </w:r>
      <w:r w:rsidR="00BB2319">
        <w:rPr>
          <w:rFonts w:ascii="Times New Roman" w:hAnsi="Times New Roman" w:cs="Times New Roman"/>
        </w:rPr>
        <w:t xml:space="preserve">, </w:t>
      </w:r>
      <w:r w:rsidR="008F2052">
        <w:rPr>
          <w:rFonts w:ascii="Times New Roman" w:hAnsi="Times New Roman" w:cs="Times New Roman"/>
        </w:rPr>
        <w:t>OM% 4.4</w:t>
      </w:r>
      <w:r w:rsidR="00BB2319">
        <w:rPr>
          <w:rFonts w:ascii="Times New Roman" w:hAnsi="Times New Roman" w:cs="Times New Roman"/>
        </w:rPr>
        <w:t xml:space="preserve"> and EC 0.38 and 0.55 </w:t>
      </w:r>
      <w:proofErr w:type="spellStart"/>
      <w:r w:rsidR="00BB2319">
        <w:rPr>
          <w:rFonts w:ascii="Times New Roman" w:hAnsi="Times New Roman" w:cs="Times New Roman"/>
        </w:rPr>
        <w:t>mmho</w:t>
      </w:r>
      <w:proofErr w:type="spellEnd"/>
      <w:r w:rsidR="00BB2319">
        <w:rPr>
          <w:rFonts w:ascii="Times New Roman" w:hAnsi="Times New Roman" w:cs="Times New Roman"/>
        </w:rPr>
        <w:t>/cm soluble salts (0-6” and 6-24”)</w:t>
      </w:r>
      <w:r w:rsidR="008F2052">
        <w:rPr>
          <w:rFonts w:ascii="Times New Roman" w:hAnsi="Times New Roman" w:cs="Times New Roman"/>
        </w:rPr>
        <w:t xml:space="preserve">. </w:t>
      </w:r>
      <w:r w:rsidR="00BA102D">
        <w:rPr>
          <w:rFonts w:ascii="Times New Roman" w:hAnsi="Times New Roman" w:cs="Times New Roman"/>
        </w:rPr>
        <w:t xml:space="preserve"> An additional 25 </w:t>
      </w:r>
      <w:proofErr w:type="spellStart"/>
      <w:r w:rsidR="00BA102D">
        <w:rPr>
          <w:rFonts w:ascii="Times New Roman" w:hAnsi="Times New Roman" w:cs="Times New Roman"/>
        </w:rPr>
        <w:t>lbs</w:t>
      </w:r>
      <w:proofErr w:type="spellEnd"/>
      <w:r w:rsidR="00BA102D">
        <w:rPr>
          <w:rFonts w:ascii="Times New Roman" w:hAnsi="Times New Roman" w:cs="Times New Roman"/>
        </w:rPr>
        <w:t xml:space="preserve"> N/a, 39 </w:t>
      </w:r>
      <w:proofErr w:type="spellStart"/>
      <w:r w:rsidR="00BA102D">
        <w:rPr>
          <w:rFonts w:ascii="Times New Roman" w:hAnsi="Times New Roman" w:cs="Times New Roman"/>
        </w:rPr>
        <w:t>lbs</w:t>
      </w:r>
      <w:proofErr w:type="spellEnd"/>
      <w:r w:rsidR="00BA102D">
        <w:rPr>
          <w:rFonts w:ascii="Times New Roman" w:hAnsi="Times New Roman" w:cs="Times New Roman"/>
        </w:rPr>
        <w:t xml:space="preserve"> P/a and 20 </w:t>
      </w:r>
      <w:proofErr w:type="spellStart"/>
      <w:r w:rsidR="00BA102D">
        <w:rPr>
          <w:rFonts w:ascii="Times New Roman" w:hAnsi="Times New Roman" w:cs="Times New Roman"/>
        </w:rPr>
        <w:t>lbs</w:t>
      </w:r>
      <w:proofErr w:type="spellEnd"/>
      <w:r w:rsidR="00BA102D">
        <w:rPr>
          <w:rFonts w:ascii="Times New Roman" w:hAnsi="Times New Roman" w:cs="Times New Roman"/>
        </w:rPr>
        <w:t xml:space="preserve"> S/a were applied.</w:t>
      </w:r>
      <w:r w:rsidR="008F2052">
        <w:rPr>
          <w:rFonts w:ascii="Times New Roman" w:hAnsi="Times New Roman" w:cs="Times New Roman"/>
        </w:rPr>
        <w:t xml:space="preserve"> </w:t>
      </w:r>
      <w:r w:rsidR="00BA102D" w:rsidRPr="00E44EE3">
        <w:rPr>
          <w:rFonts w:ascii="Times New Roman" w:hAnsi="Times New Roman" w:cs="Times New Roman"/>
        </w:rPr>
        <w:t xml:space="preserve">Three Roundup Ready cultivars </w:t>
      </w:r>
      <w:r w:rsidR="00BA102D">
        <w:rPr>
          <w:rFonts w:ascii="Times New Roman" w:hAnsi="Times New Roman" w:cs="Times New Roman"/>
        </w:rPr>
        <w:t>w</w:t>
      </w:r>
      <w:r w:rsidR="00BA102D" w:rsidRPr="00E44EE3">
        <w:rPr>
          <w:rFonts w:ascii="Times New Roman" w:hAnsi="Times New Roman" w:cs="Times New Roman"/>
        </w:rPr>
        <w:t xml:space="preserve">ith maturity </w:t>
      </w:r>
      <w:r w:rsidR="00BA102D">
        <w:rPr>
          <w:rFonts w:ascii="Times New Roman" w:hAnsi="Times New Roman" w:cs="Times New Roman"/>
        </w:rPr>
        <w:t>groups (MG)</w:t>
      </w:r>
      <w:r w:rsidR="00BA102D" w:rsidRPr="00E44EE3">
        <w:rPr>
          <w:rFonts w:ascii="Times New Roman" w:hAnsi="Times New Roman" w:cs="Times New Roman"/>
        </w:rPr>
        <w:t xml:space="preserve"> of 00.5, 00.9 and 0.1</w:t>
      </w:r>
      <w:r w:rsidR="00BA102D">
        <w:rPr>
          <w:rFonts w:ascii="Times New Roman" w:hAnsi="Times New Roman" w:cs="Times New Roman"/>
        </w:rPr>
        <w:t xml:space="preserve"> were s</w:t>
      </w:r>
      <w:r w:rsidRPr="00E44EE3">
        <w:rPr>
          <w:rFonts w:ascii="Times New Roman" w:hAnsi="Times New Roman" w:cs="Times New Roman"/>
        </w:rPr>
        <w:t>eed</w:t>
      </w:r>
      <w:r w:rsidR="00BA102D">
        <w:rPr>
          <w:rFonts w:ascii="Times New Roman" w:hAnsi="Times New Roman" w:cs="Times New Roman"/>
        </w:rPr>
        <w:t>ed</w:t>
      </w:r>
      <w:r w:rsidRPr="00E44EE3">
        <w:rPr>
          <w:rFonts w:ascii="Times New Roman" w:hAnsi="Times New Roman" w:cs="Times New Roman"/>
        </w:rPr>
        <w:t xml:space="preserve"> </w:t>
      </w:r>
      <w:r w:rsidR="00BA102D">
        <w:rPr>
          <w:rFonts w:ascii="Times New Roman" w:hAnsi="Times New Roman" w:cs="Times New Roman"/>
        </w:rPr>
        <w:t>on</w:t>
      </w:r>
      <w:r w:rsidRPr="00E44EE3">
        <w:rPr>
          <w:rFonts w:ascii="Times New Roman" w:hAnsi="Times New Roman" w:cs="Times New Roman"/>
        </w:rPr>
        <w:t xml:space="preserve"> May 15, May 24, June</w:t>
      </w:r>
      <w:r w:rsidR="00AF1A8B" w:rsidRPr="00E44EE3">
        <w:rPr>
          <w:rFonts w:ascii="Times New Roman" w:hAnsi="Times New Roman" w:cs="Times New Roman"/>
        </w:rPr>
        <w:t xml:space="preserve"> 4</w:t>
      </w:r>
      <w:r w:rsidRPr="00E44EE3">
        <w:rPr>
          <w:rFonts w:ascii="Times New Roman" w:hAnsi="Times New Roman" w:cs="Times New Roman"/>
        </w:rPr>
        <w:t>, June 14, and June</w:t>
      </w:r>
      <w:r w:rsidR="005929D1" w:rsidRPr="00E44EE3">
        <w:rPr>
          <w:rFonts w:ascii="Times New Roman" w:hAnsi="Times New Roman" w:cs="Times New Roman"/>
        </w:rPr>
        <w:t xml:space="preserve"> </w:t>
      </w:r>
      <w:r w:rsidRPr="00E44EE3">
        <w:rPr>
          <w:rFonts w:ascii="Times New Roman" w:hAnsi="Times New Roman" w:cs="Times New Roman"/>
        </w:rPr>
        <w:t>25.    A</w:t>
      </w:r>
      <w:r w:rsidR="000C34AB" w:rsidRPr="00E44EE3">
        <w:rPr>
          <w:rFonts w:ascii="Times New Roman" w:hAnsi="Times New Roman" w:cs="Times New Roman"/>
        </w:rPr>
        <w:t>n</w:t>
      </w:r>
      <w:r w:rsidRPr="00E44EE3">
        <w:rPr>
          <w:rFonts w:ascii="Times New Roman" w:hAnsi="Times New Roman" w:cs="Times New Roman"/>
        </w:rPr>
        <w:t xml:space="preserve"> established </w:t>
      </w:r>
      <w:r w:rsidR="00BA102D">
        <w:rPr>
          <w:rFonts w:ascii="Times New Roman" w:hAnsi="Times New Roman" w:cs="Times New Roman"/>
        </w:rPr>
        <w:t>population</w:t>
      </w:r>
      <w:r w:rsidRPr="00E44EE3">
        <w:rPr>
          <w:rFonts w:ascii="Times New Roman" w:hAnsi="Times New Roman" w:cs="Times New Roman"/>
        </w:rPr>
        <w:t xml:space="preserve"> density </w:t>
      </w:r>
      <w:r w:rsidR="000C34AB" w:rsidRPr="00E44EE3">
        <w:rPr>
          <w:rFonts w:ascii="Times New Roman" w:hAnsi="Times New Roman" w:cs="Times New Roman"/>
        </w:rPr>
        <w:t>of 180,000 plants/a was the target</w:t>
      </w:r>
      <w:r w:rsidRPr="00E44EE3">
        <w:rPr>
          <w:rFonts w:ascii="Times New Roman" w:hAnsi="Times New Roman" w:cs="Times New Roman"/>
        </w:rPr>
        <w:t xml:space="preserve">.  Plot size was 3.5’ x 21’ with seven </w:t>
      </w:r>
      <w:r w:rsidR="00172CA7" w:rsidRPr="00E44EE3">
        <w:rPr>
          <w:rFonts w:ascii="Times New Roman" w:hAnsi="Times New Roman" w:cs="Times New Roman"/>
        </w:rPr>
        <w:t>six-inch</w:t>
      </w:r>
      <w:r w:rsidRPr="00E44EE3">
        <w:rPr>
          <w:rFonts w:ascii="Times New Roman" w:hAnsi="Times New Roman" w:cs="Times New Roman"/>
        </w:rPr>
        <w:t xml:space="preserve"> rows.</w:t>
      </w:r>
      <w:r w:rsidR="00681D0A" w:rsidRPr="00E44EE3">
        <w:rPr>
          <w:rFonts w:ascii="Times New Roman" w:hAnsi="Times New Roman" w:cs="Times New Roman"/>
        </w:rPr>
        <w:t xml:space="preserve">  Net Return $/a = yield x $7.50 </w:t>
      </w:r>
      <w:proofErr w:type="spellStart"/>
      <w:r w:rsidR="00681D0A" w:rsidRPr="00E44EE3">
        <w:rPr>
          <w:rFonts w:ascii="Times New Roman" w:hAnsi="Times New Roman" w:cs="Times New Roman"/>
        </w:rPr>
        <w:t>bu</w:t>
      </w:r>
      <w:proofErr w:type="spellEnd"/>
      <w:r w:rsidR="00681D0A" w:rsidRPr="00E44EE3">
        <w:rPr>
          <w:rFonts w:ascii="Times New Roman" w:hAnsi="Times New Roman" w:cs="Times New Roman"/>
        </w:rPr>
        <w:t>/a.</w:t>
      </w:r>
    </w:p>
    <w:p w:rsidR="006D11C5" w:rsidRPr="00E44EE3" w:rsidRDefault="006D11C5" w:rsidP="009D703E">
      <w:pPr>
        <w:spacing w:line="240" w:lineRule="auto"/>
        <w:contextualSpacing/>
        <w:rPr>
          <w:rFonts w:ascii="Times New Roman" w:hAnsi="Times New Roman" w:cs="Times New Roman"/>
        </w:rPr>
      </w:pPr>
    </w:p>
    <w:p w:rsidR="005929D1" w:rsidRDefault="002E789C" w:rsidP="009D703E">
      <w:pPr>
        <w:spacing w:line="240" w:lineRule="auto"/>
        <w:contextualSpacing/>
        <w:rPr>
          <w:rFonts w:ascii="Times New Roman" w:hAnsi="Times New Roman" w:cs="Times New Roman"/>
          <w:b/>
          <w:u w:val="single"/>
        </w:rPr>
      </w:pPr>
      <w:r w:rsidRPr="00E44EE3">
        <w:rPr>
          <w:rFonts w:ascii="Times New Roman" w:hAnsi="Times New Roman" w:cs="Times New Roman"/>
          <w:b/>
          <w:u w:val="single"/>
        </w:rPr>
        <w:t>Results</w:t>
      </w:r>
    </w:p>
    <w:p w:rsidR="00BA102D" w:rsidRDefault="00BA102D" w:rsidP="009D703E">
      <w:pPr>
        <w:spacing w:line="240" w:lineRule="auto"/>
        <w:contextualSpacing/>
        <w:rPr>
          <w:rFonts w:ascii="Times New Roman" w:hAnsi="Times New Roman" w:cs="Times New Roman"/>
        </w:rPr>
      </w:pPr>
      <w:r>
        <w:rPr>
          <w:rFonts w:ascii="Times New Roman" w:hAnsi="Times New Roman" w:cs="Times New Roman"/>
        </w:rPr>
        <w:t>Rainfall totaled 11.63 inches during April to September, 2.68 inches below normal, with most of th</w:t>
      </w:r>
      <w:r w:rsidR="00BD1623">
        <w:rPr>
          <w:rFonts w:ascii="Times New Roman" w:hAnsi="Times New Roman" w:cs="Times New Roman"/>
        </w:rPr>
        <w:t>at</w:t>
      </w:r>
      <w:r>
        <w:rPr>
          <w:rFonts w:ascii="Times New Roman" w:hAnsi="Times New Roman" w:cs="Times New Roman"/>
        </w:rPr>
        <w:t xml:space="preserve"> received in June until mid-July.  Temperatures were 6.8 degrees F. above normal in May and June, near normal in July and August and 2.9 degrees F. below normal in September.</w:t>
      </w:r>
      <w:r w:rsidR="00BD1623">
        <w:rPr>
          <w:rFonts w:ascii="Times New Roman" w:hAnsi="Times New Roman" w:cs="Times New Roman"/>
        </w:rPr>
        <w:t xml:space="preserve">  </w:t>
      </w:r>
      <w:r w:rsidR="00BD1623" w:rsidRPr="00E44EE3">
        <w:rPr>
          <w:rFonts w:ascii="Times New Roman" w:hAnsi="Times New Roman" w:cs="Times New Roman"/>
        </w:rPr>
        <w:t>Cultivars seeded on June 25 did not mature prior to the first killing freeze on September 29.  Only height of 1</w:t>
      </w:r>
      <w:r w:rsidR="00BD1623" w:rsidRPr="00E44EE3">
        <w:rPr>
          <w:rFonts w:ascii="Times New Roman" w:hAnsi="Times New Roman" w:cs="Times New Roman"/>
          <w:vertAlign w:val="superscript"/>
        </w:rPr>
        <w:t>st</w:t>
      </w:r>
      <w:r w:rsidR="00BD1623" w:rsidRPr="00E44EE3">
        <w:rPr>
          <w:rFonts w:ascii="Times New Roman" w:hAnsi="Times New Roman" w:cs="Times New Roman"/>
        </w:rPr>
        <w:t xml:space="preserve"> pod </w:t>
      </w:r>
      <w:r w:rsidR="00BD1623">
        <w:rPr>
          <w:rFonts w:ascii="Times New Roman" w:hAnsi="Times New Roman" w:cs="Times New Roman"/>
        </w:rPr>
        <w:t xml:space="preserve">(pod height) and </w:t>
      </w:r>
      <w:r w:rsidR="00BD1623" w:rsidRPr="00E44EE3">
        <w:rPr>
          <w:rFonts w:ascii="Times New Roman" w:hAnsi="Times New Roman" w:cs="Times New Roman"/>
        </w:rPr>
        <w:t>plant height</w:t>
      </w:r>
      <w:r w:rsidR="00BD1623">
        <w:rPr>
          <w:rFonts w:ascii="Times New Roman" w:hAnsi="Times New Roman" w:cs="Times New Roman"/>
        </w:rPr>
        <w:t xml:space="preserve"> </w:t>
      </w:r>
      <w:r w:rsidR="00BD1623" w:rsidRPr="00E44EE3">
        <w:rPr>
          <w:rFonts w:ascii="Times New Roman" w:hAnsi="Times New Roman" w:cs="Times New Roman"/>
        </w:rPr>
        <w:t xml:space="preserve">data are reported for all seeding dates. </w:t>
      </w:r>
      <w:r w:rsidR="00BD1623">
        <w:rPr>
          <w:rFonts w:ascii="Times New Roman" w:hAnsi="Times New Roman" w:cs="Times New Roman"/>
        </w:rPr>
        <w:t xml:space="preserve"> </w:t>
      </w:r>
    </w:p>
    <w:p w:rsidR="00BD1623" w:rsidRPr="00BA102D" w:rsidRDefault="00BD1623" w:rsidP="009D703E">
      <w:pPr>
        <w:spacing w:line="240" w:lineRule="auto"/>
        <w:contextualSpacing/>
        <w:rPr>
          <w:rFonts w:ascii="Times New Roman" w:hAnsi="Times New Roman" w:cs="Times New Roman"/>
        </w:rPr>
      </w:pPr>
    </w:p>
    <w:p w:rsidR="00211001" w:rsidRDefault="00BD1623" w:rsidP="00D62294">
      <w:pPr>
        <w:rPr>
          <w:rFonts w:ascii="Times New Roman" w:hAnsi="Times New Roman" w:cs="Times New Roman"/>
        </w:rPr>
      </w:pPr>
      <w:r>
        <w:rPr>
          <w:rFonts w:ascii="Times New Roman" w:hAnsi="Times New Roman" w:cs="Times New Roman"/>
        </w:rPr>
        <w:t xml:space="preserve">The analysis of variance (p&gt;F) is reported in Table 1.  </w:t>
      </w:r>
      <w:r w:rsidR="00D3090B" w:rsidRPr="00E44EE3">
        <w:rPr>
          <w:rFonts w:ascii="Times New Roman" w:hAnsi="Times New Roman" w:cs="Times New Roman"/>
        </w:rPr>
        <w:t>Statistically</w:t>
      </w:r>
      <w:r w:rsidR="00D83979" w:rsidRPr="00E44EE3">
        <w:rPr>
          <w:rFonts w:ascii="Times New Roman" w:hAnsi="Times New Roman" w:cs="Times New Roman"/>
        </w:rPr>
        <w:t xml:space="preserve"> significant seeding date by cultiv</w:t>
      </w:r>
      <w:r w:rsidR="00852945" w:rsidRPr="00E44EE3">
        <w:rPr>
          <w:rFonts w:ascii="Times New Roman" w:hAnsi="Times New Roman" w:cs="Times New Roman"/>
        </w:rPr>
        <w:t>ar interaction</w:t>
      </w:r>
      <w:r w:rsidR="005E4E5A" w:rsidRPr="00E44EE3">
        <w:rPr>
          <w:rFonts w:ascii="Times New Roman" w:hAnsi="Times New Roman" w:cs="Times New Roman"/>
        </w:rPr>
        <w:t>s</w:t>
      </w:r>
      <w:r w:rsidR="00852945" w:rsidRPr="00E44EE3">
        <w:rPr>
          <w:rFonts w:ascii="Times New Roman" w:hAnsi="Times New Roman" w:cs="Times New Roman"/>
        </w:rPr>
        <w:t xml:space="preserve"> </w:t>
      </w:r>
      <w:r w:rsidR="00E20EC6" w:rsidRPr="00E44EE3">
        <w:rPr>
          <w:rFonts w:ascii="Times New Roman" w:hAnsi="Times New Roman" w:cs="Times New Roman"/>
        </w:rPr>
        <w:t>occurred</w:t>
      </w:r>
      <w:r w:rsidR="005E4E5A" w:rsidRPr="00E44EE3">
        <w:rPr>
          <w:rFonts w:ascii="Times New Roman" w:hAnsi="Times New Roman" w:cs="Times New Roman"/>
        </w:rPr>
        <w:t xml:space="preserve"> </w:t>
      </w:r>
      <w:r w:rsidR="007D4E83">
        <w:rPr>
          <w:rFonts w:ascii="Times New Roman" w:hAnsi="Times New Roman" w:cs="Times New Roman"/>
        </w:rPr>
        <w:t xml:space="preserve">for </w:t>
      </w:r>
      <w:r w:rsidR="00C42D3E">
        <w:rPr>
          <w:rFonts w:ascii="Times New Roman" w:hAnsi="Times New Roman" w:cs="Times New Roman"/>
        </w:rPr>
        <w:t xml:space="preserve">the agronomic traits </w:t>
      </w:r>
      <w:r w:rsidR="007D4E83">
        <w:rPr>
          <w:rFonts w:ascii="Times New Roman" w:hAnsi="Times New Roman" w:cs="Times New Roman"/>
        </w:rPr>
        <w:t>days to mature, percent oil concentration and test weight</w:t>
      </w:r>
      <w:r w:rsidR="00B67CE7">
        <w:rPr>
          <w:rFonts w:ascii="Times New Roman" w:hAnsi="Times New Roman" w:cs="Times New Roman"/>
        </w:rPr>
        <w:t xml:space="preserve"> </w:t>
      </w:r>
      <w:r w:rsidR="00C22E55">
        <w:rPr>
          <w:rFonts w:ascii="Times New Roman" w:hAnsi="Times New Roman" w:cs="Times New Roman"/>
        </w:rPr>
        <w:t>but differences</w:t>
      </w:r>
      <w:r w:rsidR="00C5470B">
        <w:rPr>
          <w:rFonts w:ascii="Times New Roman" w:hAnsi="Times New Roman" w:cs="Times New Roman"/>
        </w:rPr>
        <w:t xml:space="preserve"> </w:t>
      </w:r>
      <w:r w:rsidR="00B67CE7">
        <w:rPr>
          <w:rFonts w:ascii="Times New Roman" w:hAnsi="Times New Roman" w:cs="Times New Roman"/>
        </w:rPr>
        <w:t>were considered not to have agronomic importance. O</w:t>
      </w:r>
      <w:r w:rsidR="005E4E5A" w:rsidRPr="00E44EE3">
        <w:rPr>
          <w:rFonts w:ascii="Times New Roman" w:hAnsi="Times New Roman" w:cs="Times New Roman"/>
        </w:rPr>
        <w:t xml:space="preserve">nly means averaged over cultivars </w:t>
      </w:r>
      <w:r w:rsidR="00C5470B">
        <w:rPr>
          <w:rFonts w:ascii="Times New Roman" w:hAnsi="Times New Roman" w:cs="Times New Roman"/>
        </w:rPr>
        <w:t>and</w:t>
      </w:r>
      <w:r w:rsidR="005E4E5A" w:rsidRPr="00E44EE3">
        <w:rPr>
          <w:rFonts w:ascii="Times New Roman" w:hAnsi="Times New Roman" w:cs="Times New Roman"/>
        </w:rPr>
        <w:t xml:space="preserve"> seeding dates are examined</w:t>
      </w:r>
      <w:r w:rsidR="006D74F0" w:rsidRPr="00E44EE3">
        <w:rPr>
          <w:rFonts w:ascii="Times New Roman" w:hAnsi="Times New Roman" w:cs="Times New Roman"/>
        </w:rPr>
        <w:t xml:space="preserve"> </w:t>
      </w:r>
      <w:r w:rsidR="00A51849" w:rsidRPr="00E44EE3">
        <w:rPr>
          <w:rFonts w:ascii="Times New Roman" w:hAnsi="Times New Roman" w:cs="Times New Roman"/>
        </w:rPr>
        <w:t xml:space="preserve">(Table </w:t>
      </w:r>
      <w:r w:rsidR="00C5470B">
        <w:rPr>
          <w:rFonts w:ascii="Times New Roman" w:hAnsi="Times New Roman" w:cs="Times New Roman"/>
        </w:rPr>
        <w:t>2</w:t>
      </w:r>
      <w:r w:rsidR="00A51849" w:rsidRPr="00E44EE3">
        <w:rPr>
          <w:rFonts w:ascii="Times New Roman" w:hAnsi="Times New Roman" w:cs="Times New Roman"/>
        </w:rPr>
        <w:t>)</w:t>
      </w:r>
      <w:r w:rsidR="005E4E5A" w:rsidRPr="00E44EE3">
        <w:rPr>
          <w:rFonts w:ascii="Times New Roman" w:hAnsi="Times New Roman" w:cs="Times New Roman"/>
        </w:rPr>
        <w:t xml:space="preserve">.  </w:t>
      </w:r>
      <w:r w:rsidR="007D4E83" w:rsidRPr="00E44EE3">
        <w:rPr>
          <w:rFonts w:ascii="Times New Roman" w:hAnsi="Times New Roman" w:cs="Times New Roman"/>
        </w:rPr>
        <w:t xml:space="preserve">There were no significant difference in plant stands </w:t>
      </w:r>
      <w:r w:rsidR="00C22E55">
        <w:rPr>
          <w:rFonts w:ascii="Times New Roman" w:hAnsi="Times New Roman" w:cs="Times New Roman"/>
        </w:rPr>
        <w:t>for</w:t>
      </w:r>
      <w:r w:rsidR="007D4E83" w:rsidRPr="00E44EE3">
        <w:rPr>
          <w:rFonts w:ascii="Times New Roman" w:hAnsi="Times New Roman" w:cs="Times New Roman"/>
        </w:rPr>
        <w:t xml:space="preserve"> seeding dates or cultivars (data not shown). </w:t>
      </w:r>
      <w:r w:rsidR="005E4E5A" w:rsidRPr="00E44EE3">
        <w:rPr>
          <w:rFonts w:ascii="Times New Roman" w:hAnsi="Times New Roman" w:cs="Times New Roman"/>
        </w:rPr>
        <w:t xml:space="preserve"> </w:t>
      </w:r>
      <w:r w:rsidR="005E7F42" w:rsidRPr="00E44EE3">
        <w:rPr>
          <w:rFonts w:ascii="Times New Roman" w:hAnsi="Times New Roman" w:cs="Times New Roman"/>
        </w:rPr>
        <w:t xml:space="preserve">Plant and pod height decreased with later </w:t>
      </w:r>
      <w:r w:rsidR="004C0394">
        <w:rPr>
          <w:rFonts w:ascii="Times New Roman" w:hAnsi="Times New Roman" w:cs="Times New Roman"/>
        </w:rPr>
        <w:t>seed</w:t>
      </w:r>
      <w:r w:rsidR="005E7F42" w:rsidRPr="00E44EE3">
        <w:rPr>
          <w:rFonts w:ascii="Times New Roman" w:hAnsi="Times New Roman" w:cs="Times New Roman"/>
        </w:rPr>
        <w:t>ing dates with the 0.1 cultivar having the greatest height.</w:t>
      </w:r>
      <w:r w:rsidR="005E7F42">
        <w:rPr>
          <w:rFonts w:ascii="Times New Roman" w:hAnsi="Times New Roman" w:cs="Times New Roman"/>
        </w:rPr>
        <w:t xml:space="preserve"> </w:t>
      </w:r>
      <w:r w:rsidR="005E7F42" w:rsidRPr="00E44EE3">
        <w:rPr>
          <w:rFonts w:ascii="Times New Roman" w:hAnsi="Times New Roman" w:cs="Times New Roman"/>
        </w:rPr>
        <w:t xml:space="preserve"> </w:t>
      </w:r>
      <w:r w:rsidR="00D9484C">
        <w:rPr>
          <w:rFonts w:ascii="Times New Roman" w:hAnsi="Times New Roman" w:cs="Times New Roman"/>
        </w:rPr>
        <w:t>The nu</w:t>
      </w:r>
      <w:r w:rsidR="00FE2162">
        <w:rPr>
          <w:rFonts w:ascii="Times New Roman" w:hAnsi="Times New Roman" w:cs="Times New Roman"/>
        </w:rPr>
        <w:t xml:space="preserve">mber of days to mature decreased </w:t>
      </w:r>
      <w:r w:rsidR="00C22E55">
        <w:rPr>
          <w:rFonts w:ascii="Times New Roman" w:hAnsi="Times New Roman" w:cs="Times New Roman"/>
        </w:rPr>
        <w:t>with later</w:t>
      </w:r>
      <w:r w:rsidR="00FE2162">
        <w:rPr>
          <w:rFonts w:ascii="Times New Roman" w:hAnsi="Times New Roman" w:cs="Times New Roman"/>
        </w:rPr>
        <w:t xml:space="preserve"> seeding dates </w:t>
      </w:r>
      <w:r w:rsidR="005E7F42">
        <w:rPr>
          <w:rFonts w:ascii="Times New Roman" w:hAnsi="Times New Roman" w:cs="Times New Roman"/>
        </w:rPr>
        <w:t>while days</w:t>
      </w:r>
      <w:r w:rsidR="00C22E55">
        <w:rPr>
          <w:rFonts w:ascii="Times New Roman" w:hAnsi="Times New Roman" w:cs="Times New Roman"/>
        </w:rPr>
        <w:t xml:space="preserve"> to mature increased</w:t>
      </w:r>
      <w:r w:rsidR="00FE2162">
        <w:rPr>
          <w:rFonts w:ascii="Times New Roman" w:hAnsi="Times New Roman" w:cs="Times New Roman"/>
        </w:rPr>
        <w:t xml:space="preserve"> with later MG.  </w:t>
      </w:r>
      <w:r w:rsidR="00F619F3">
        <w:rPr>
          <w:rFonts w:ascii="Times New Roman" w:hAnsi="Times New Roman" w:cs="Times New Roman"/>
        </w:rPr>
        <w:t>No significant differences were observed among seeding dates for p</w:t>
      </w:r>
      <w:r w:rsidR="00601F68" w:rsidRPr="00E44EE3">
        <w:rPr>
          <w:rFonts w:ascii="Times New Roman" w:hAnsi="Times New Roman" w:cs="Times New Roman"/>
        </w:rPr>
        <w:t>ercent g</w:t>
      </w:r>
      <w:r w:rsidR="00681D0A" w:rsidRPr="00E44EE3">
        <w:rPr>
          <w:rFonts w:ascii="Times New Roman" w:hAnsi="Times New Roman" w:cs="Times New Roman"/>
        </w:rPr>
        <w:t xml:space="preserve">rain protein </w:t>
      </w:r>
      <w:r w:rsidR="00F619F3">
        <w:rPr>
          <w:rFonts w:ascii="Times New Roman" w:hAnsi="Times New Roman" w:cs="Times New Roman"/>
        </w:rPr>
        <w:t>while</w:t>
      </w:r>
      <w:r w:rsidR="00681D0A" w:rsidRPr="00E44EE3">
        <w:rPr>
          <w:rFonts w:ascii="Times New Roman" w:hAnsi="Times New Roman" w:cs="Times New Roman"/>
        </w:rPr>
        <w:t xml:space="preserve"> oil </w:t>
      </w:r>
      <w:r w:rsidR="00601F68" w:rsidRPr="00E44EE3">
        <w:rPr>
          <w:rFonts w:ascii="Times New Roman" w:hAnsi="Times New Roman" w:cs="Times New Roman"/>
        </w:rPr>
        <w:t>content</w:t>
      </w:r>
      <w:r w:rsidR="00681D0A" w:rsidRPr="00E44EE3">
        <w:rPr>
          <w:rFonts w:ascii="Times New Roman" w:hAnsi="Times New Roman" w:cs="Times New Roman"/>
        </w:rPr>
        <w:t xml:space="preserve"> decreased at later </w:t>
      </w:r>
      <w:r w:rsidR="004C0394">
        <w:rPr>
          <w:rFonts w:ascii="Times New Roman" w:hAnsi="Times New Roman" w:cs="Times New Roman"/>
        </w:rPr>
        <w:t>seedi</w:t>
      </w:r>
      <w:r w:rsidR="00681D0A" w:rsidRPr="00E44EE3">
        <w:rPr>
          <w:rFonts w:ascii="Times New Roman" w:hAnsi="Times New Roman" w:cs="Times New Roman"/>
        </w:rPr>
        <w:t>ng dates.</w:t>
      </w:r>
      <w:r w:rsidR="00F619F3">
        <w:rPr>
          <w:rFonts w:ascii="Times New Roman" w:hAnsi="Times New Roman" w:cs="Times New Roman"/>
        </w:rPr>
        <w:t xml:space="preserve">  Test weights were highest at the June 4 seeding date with the 0.1 MG having the lowest test weight mainly because of a significant drop at the June 14 seeding date (data no shown).  </w:t>
      </w:r>
    </w:p>
    <w:p w:rsidR="00C42D3E" w:rsidRDefault="00172CA7" w:rsidP="00D62294">
      <w:pPr>
        <w:rPr>
          <w:rFonts w:ascii="Times New Roman" w:hAnsi="Times New Roman" w:cs="Times New Roman"/>
        </w:rPr>
      </w:pPr>
      <w:r w:rsidRPr="00E44EE3">
        <w:rPr>
          <w:rFonts w:ascii="Times New Roman" w:hAnsi="Times New Roman" w:cs="Times New Roman"/>
        </w:rPr>
        <w:t>There were</w:t>
      </w:r>
      <w:r w:rsidR="00635F42" w:rsidRPr="00E44EE3">
        <w:rPr>
          <w:rFonts w:ascii="Times New Roman" w:hAnsi="Times New Roman" w:cs="Times New Roman"/>
        </w:rPr>
        <w:t xml:space="preserve"> significant interaction</w:t>
      </w:r>
      <w:r w:rsidRPr="00E44EE3">
        <w:rPr>
          <w:rFonts w:ascii="Times New Roman" w:hAnsi="Times New Roman" w:cs="Times New Roman"/>
        </w:rPr>
        <w:t>s</w:t>
      </w:r>
      <w:r w:rsidR="00635F42" w:rsidRPr="00E44EE3">
        <w:rPr>
          <w:rFonts w:ascii="Times New Roman" w:hAnsi="Times New Roman" w:cs="Times New Roman"/>
        </w:rPr>
        <w:t xml:space="preserve"> between seeding date an</w:t>
      </w:r>
      <w:r w:rsidR="004C0394">
        <w:rPr>
          <w:rFonts w:ascii="Times New Roman" w:hAnsi="Times New Roman" w:cs="Times New Roman"/>
        </w:rPr>
        <w:t>d cultivar MG</w:t>
      </w:r>
      <w:r w:rsidR="00FA5AD5" w:rsidRPr="00E44EE3">
        <w:rPr>
          <w:rFonts w:ascii="Times New Roman" w:hAnsi="Times New Roman" w:cs="Times New Roman"/>
        </w:rPr>
        <w:t xml:space="preserve"> for yield and net return</w:t>
      </w:r>
      <w:r w:rsidR="004C0394">
        <w:rPr>
          <w:rFonts w:ascii="Times New Roman" w:hAnsi="Times New Roman" w:cs="Times New Roman"/>
        </w:rPr>
        <w:t xml:space="preserve"> $/a</w:t>
      </w:r>
      <w:r w:rsidR="00FA5AD5" w:rsidRPr="00E44EE3">
        <w:rPr>
          <w:rFonts w:ascii="Times New Roman" w:hAnsi="Times New Roman" w:cs="Times New Roman"/>
        </w:rPr>
        <w:t xml:space="preserve">.  </w:t>
      </w:r>
      <w:r w:rsidR="005A3DF0" w:rsidRPr="00E44EE3">
        <w:rPr>
          <w:rFonts w:ascii="Times New Roman" w:hAnsi="Times New Roman" w:cs="Times New Roman"/>
        </w:rPr>
        <w:t xml:space="preserve">Yields </w:t>
      </w:r>
      <w:r w:rsidR="005E7F42">
        <w:rPr>
          <w:rFonts w:ascii="Times New Roman" w:hAnsi="Times New Roman" w:cs="Times New Roman"/>
        </w:rPr>
        <w:t>were</w:t>
      </w:r>
      <w:r w:rsidR="005A3DF0" w:rsidRPr="00E44EE3">
        <w:rPr>
          <w:rFonts w:ascii="Times New Roman" w:hAnsi="Times New Roman" w:cs="Times New Roman"/>
        </w:rPr>
        <w:t xml:space="preserve"> greatest at the earliest seeding date and decreased at each of the later subsequent dates</w:t>
      </w:r>
      <w:r w:rsidR="00A51849" w:rsidRPr="00E44EE3">
        <w:rPr>
          <w:rFonts w:ascii="Times New Roman" w:hAnsi="Times New Roman" w:cs="Times New Roman"/>
        </w:rPr>
        <w:t xml:space="preserve"> (Figure 1)</w:t>
      </w:r>
      <w:r w:rsidR="005A3DF0" w:rsidRPr="00E44EE3">
        <w:rPr>
          <w:rFonts w:ascii="Times New Roman" w:hAnsi="Times New Roman" w:cs="Times New Roman"/>
        </w:rPr>
        <w:t>.</w:t>
      </w:r>
      <w:r w:rsidR="004C0394">
        <w:rPr>
          <w:rFonts w:ascii="Times New Roman" w:hAnsi="Times New Roman" w:cs="Times New Roman"/>
        </w:rPr>
        <w:t xml:space="preserve">  Maturity group c</w:t>
      </w:r>
      <w:r w:rsidR="004C0394" w:rsidRPr="00E44EE3">
        <w:rPr>
          <w:rFonts w:ascii="Times New Roman" w:hAnsi="Times New Roman" w:cs="Times New Roman"/>
        </w:rPr>
        <w:t xml:space="preserve">ultivars 0.1 and 00.9 had higher yields at the May 15 and May 24 seeding date, but at the </w:t>
      </w:r>
      <w:r w:rsidR="004C0394">
        <w:rPr>
          <w:rFonts w:ascii="Times New Roman" w:hAnsi="Times New Roman" w:cs="Times New Roman"/>
        </w:rPr>
        <w:t>June 14</w:t>
      </w:r>
      <w:r w:rsidR="004C0394" w:rsidRPr="00E44EE3">
        <w:rPr>
          <w:rFonts w:ascii="Times New Roman" w:hAnsi="Times New Roman" w:cs="Times New Roman"/>
        </w:rPr>
        <w:t xml:space="preserve"> seeding date the </w:t>
      </w:r>
      <w:r w:rsidR="004C0394">
        <w:rPr>
          <w:rFonts w:ascii="Times New Roman" w:hAnsi="Times New Roman" w:cs="Times New Roman"/>
        </w:rPr>
        <w:t xml:space="preserve">MG </w:t>
      </w:r>
      <w:r w:rsidR="004C0394" w:rsidRPr="00E44EE3">
        <w:rPr>
          <w:rFonts w:ascii="Times New Roman" w:hAnsi="Times New Roman" w:cs="Times New Roman"/>
        </w:rPr>
        <w:t>00.5 cultivar had the highest yield.</w:t>
      </w:r>
      <w:r w:rsidR="005A3DF0" w:rsidRPr="00E44EE3">
        <w:rPr>
          <w:rFonts w:ascii="Times New Roman" w:hAnsi="Times New Roman" w:cs="Times New Roman"/>
        </w:rPr>
        <w:t xml:space="preserve"> The </w:t>
      </w:r>
      <w:r w:rsidR="00A51849" w:rsidRPr="00E44EE3">
        <w:rPr>
          <w:rFonts w:ascii="Times New Roman" w:hAnsi="Times New Roman" w:cs="Times New Roman"/>
        </w:rPr>
        <w:t xml:space="preserve">yield </w:t>
      </w:r>
      <w:r w:rsidR="005A3DF0" w:rsidRPr="00E44EE3">
        <w:rPr>
          <w:rFonts w:ascii="Times New Roman" w:hAnsi="Times New Roman" w:cs="Times New Roman"/>
        </w:rPr>
        <w:t>difference between the May 15 and June 14 seeding</w:t>
      </w:r>
      <w:r w:rsidR="00234335" w:rsidRPr="00E44EE3">
        <w:rPr>
          <w:rFonts w:ascii="Times New Roman" w:hAnsi="Times New Roman" w:cs="Times New Roman"/>
        </w:rPr>
        <w:t xml:space="preserve"> dates</w:t>
      </w:r>
      <w:r w:rsidR="005A3DF0" w:rsidRPr="00E44EE3">
        <w:rPr>
          <w:rFonts w:ascii="Times New Roman" w:hAnsi="Times New Roman" w:cs="Times New Roman"/>
        </w:rPr>
        <w:t xml:space="preserve"> for the 00.5,</w:t>
      </w:r>
      <w:r w:rsidR="00681D0A" w:rsidRPr="00E44EE3">
        <w:rPr>
          <w:rFonts w:ascii="Times New Roman" w:hAnsi="Times New Roman" w:cs="Times New Roman"/>
        </w:rPr>
        <w:t xml:space="preserve"> 00.9 and 0.1 </w:t>
      </w:r>
      <w:r w:rsidR="00A51849" w:rsidRPr="00E44EE3">
        <w:rPr>
          <w:rFonts w:ascii="Times New Roman" w:hAnsi="Times New Roman" w:cs="Times New Roman"/>
        </w:rPr>
        <w:t xml:space="preserve">cultivars </w:t>
      </w:r>
      <w:r w:rsidR="005A3DF0" w:rsidRPr="00E44EE3">
        <w:rPr>
          <w:rFonts w:ascii="Times New Roman" w:hAnsi="Times New Roman" w:cs="Times New Roman"/>
        </w:rPr>
        <w:t xml:space="preserve">were 13.6, 21.4, and 23.7 </w:t>
      </w:r>
      <w:proofErr w:type="spellStart"/>
      <w:r w:rsidR="005A3DF0" w:rsidRPr="00E44EE3">
        <w:rPr>
          <w:rFonts w:ascii="Times New Roman" w:hAnsi="Times New Roman" w:cs="Times New Roman"/>
        </w:rPr>
        <w:t>bu</w:t>
      </w:r>
      <w:proofErr w:type="spellEnd"/>
      <w:r w:rsidR="005A3DF0" w:rsidRPr="00E44EE3">
        <w:rPr>
          <w:rFonts w:ascii="Times New Roman" w:hAnsi="Times New Roman" w:cs="Times New Roman"/>
        </w:rPr>
        <w:t xml:space="preserve">/a, respectively.  </w:t>
      </w:r>
      <w:r w:rsidR="00644033" w:rsidRPr="00E44EE3">
        <w:rPr>
          <w:rFonts w:ascii="Times New Roman" w:hAnsi="Times New Roman" w:cs="Times New Roman"/>
        </w:rPr>
        <w:t xml:space="preserve">  </w:t>
      </w:r>
      <w:r w:rsidR="0050324A" w:rsidRPr="00E44EE3">
        <w:rPr>
          <w:rFonts w:ascii="Times New Roman" w:hAnsi="Times New Roman" w:cs="Times New Roman"/>
        </w:rPr>
        <w:t>Net r</w:t>
      </w:r>
      <w:r w:rsidR="007357AD" w:rsidRPr="00E44EE3">
        <w:rPr>
          <w:rFonts w:ascii="Times New Roman" w:hAnsi="Times New Roman" w:cs="Times New Roman"/>
        </w:rPr>
        <w:t>eturn $/a results followed the same</w:t>
      </w:r>
      <w:r w:rsidR="005E7F42">
        <w:rPr>
          <w:rFonts w:ascii="Times New Roman" w:hAnsi="Times New Roman" w:cs="Times New Roman"/>
        </w:rPr>
        <w:t xml:space="preserve"> trends as yield (Figure. 2).</w:t>
      </w:r>
    </w:p>
    <w:p w:rsidR="00FE2162" w:rsidRDefault="00FE2162" w:rsidP="00D62294">
      <w:pPr>
        <w:rPr>
          <w:rFonts w:ascii="Times New Roman" w:hAnsi="Times New Roman" w:cs="Times New Roman"/>
        </w:rPr>
      </w:pPr>
    </w:p>
    <w:p w:rsidR="00FE2162" w:rsidRDefault="00FE2162" w:rsidP="00D62294">
      <w:pPr>
        <w:rPr>
          <w:rFonts w:ascii="Times New Roman" w:hAnsi="Times New Roman" w:cs="Times New Roman"/>
        </w:rPr>
      </w:pPr>
    </w:p>
    <w:p w:rsidR="000C34AB" w:rsidRPr="00C414B3" w:rsidRDefault="00A6250B" w:rsidP="009D703E">
      <w:pPr>
        <w:spacing w:line="240" w:lineRule="auto"/>
        <w:contextualSpacing/>
        <w:rPr>
          <w:rFonts w:ascii="Times New Roman" w:hAnsi="Times New Roman" w:cs="Times New Roman"/>
          <w:b/>
        </w:rPr>
      </w:pPr>
      <w:r w:rsidRPr="00C414B3">
        <w:rPr>
          <w:rFonts w:ascii="Times New Roman" w:hAnsi="Times New Roman" w:cs="Times New Roman"/>
          <w:b/>
        </w:rPr>
        <w:lastRenderedPageBreak/>
        <w:t xml:space="preserve">Table </w:t>
      </w:r>
      <w:r w:rsidR="005E4B16">
        <w:rPr>
          <w:rFonts w:ascii="Times New Roman" w:hAnsi="Times New Roman" w:cs="Times New Roman"/>
          <w:b/>
        </w:rPr>
        <w:t>1</w:t>
      </w:r>
      <w:r w:rsidRPr="00C414B3">
        <w:rPr>
          <w:rFonts w:ascii="Times New Roman" w:hAnsi="Times New Roman" w:cs="Times New Roman"/>
          <w:b/>
        </w:rPr>
        <w:t xml:space="preserve">. Soybean </w:t>
      </w:r>
      <w:r w:rsidR="00F619F3">
        <w:rPr>
          <w:rFonts w:ascii="Times New Roman" w:hAnsi="Times New Roman" w:cs="Times New Roman"/>
          <w:b/>
        </w:rPr>
        <w:t>seedi</w:t>
      </w:r>
      <w:r w:rsidRPr="00C414B3">
        <w:rPr>
          <w:rFonts w:ascii="Times New Roman" w:hAnsi="Times New Roman" w:cs="Times New Roman"/>
          <w:b/>
        </w:rPr>
        <w:t xml:space="preserve">ng date and cultivar analysis of variance (p&gt;F) </w:t>
      </w:r>
    </w:p>
    <w:tbl>
      <w:tblPr>
        <w:tblStyle w:val="TableGrid"/>
        <w:tblW w:w="0" w:type="auto"/>
        <w:tblLook w:val="04A0" w:firstRow="1" w:lastRow="0" w:firstColumn="1" w:lastColumn="0" w:noHBand="0" w:noVBand="1"/>
      </w:tblPr>
      <w:tblGrid>
        <w:gridCol w:w="1189"/>
        <w:gridCol w:w="672"/>
        <w:gridCol w:w="805"/>
        <w:gridCol w:w="786"/>
        <w:gridCol w:w="1209"/>
        <w:gridCol w:w="861"/>
        <w:gridCol w:w="805"/>
        <w:gridCol w:w="779"/>
        <w:gridCol w:w="779"/>
        <w:gridCol w:w="779"/>
        <w:gridCol w:w="847"/>
      </w:tblGrid>
      <w:tr w:rsidR="00BC794D" w:rsidRPr="00BC794D" w:rsidTr="0016015D">
        <w:trPr>
          <w:trHeight w:val="367"/>
        </w:trPr>
        <w:tc>
          <w:tcPr>
            <w:tcW w:w="1189" w:type="dxa"/>
          </w:tcPr>
          <w:p w:rsidR="00C22E55" w:rsidRDefault="00C22E55" w:rsidP="009D703E">
            <w:pPr>
              <w:contextualSpacing/>
              <w:rPr>
                <w:rFonts w:ascii="Times New Roman" w:hAnsi="Times New Roman" w:cs="Times New Roman"/>
                <w:sz w:val="20"/>
                <w:szCs w:val="20"/>
              </w:rPr>
            </w:pPr>
          </w:p>
          <w:p w:rsidR="00A6250B" w:rsidRPr="00BC794D" w:rsidRDefault="00A6250B" w:rsidP="009D703E">
            <w:pPr>
              <w:contextualSpacing/>
              <w:rPr>
                <w:rFonts w:ascii="Times New Roman" w:hAnsi="Times New Roman" w:cs="Times New Roman"/>
                <w:sz w:val="20"/>
                <w:szCs w:val="20"/>
              </w:rPr>
            </w:pPr>
            <w:r w:rsidRPr="00BC794D">
              <w:rPr>
                <w:rFonts w:ascii="Times New Roman" w:hAnsi="Times New Roman" w:cs="Times New Roman"/>
                <w:sz w:val="20"/>
                <w:szCs w:val="20"/>
              </w:rPr>
              <w:t>Effects</w:t>
            </w:r>
          </w:p>
        </w:tc>
        <w:tc>
          <w:tcPr>
            <w:tcW w:w="660" w:type="dxa"/>
          </w:tcPr>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Plant</w:t>
            </w: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Stand</w:t>
            </w:r>
          </w:p>
        </w:tc>
        <w:tc>
          <w:tcPr>
            <w:tcW w:w="805" w:type="dxa"/>
          </w:tcPr>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Plant</w:t>
            </w: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Height</w:t>
            </w:r>
          </w:p>
        </w:tc>
        <w:tc>
          <w:tcPr>
            <w:tcW w:w="786" w:type="dxa"/>
          </w:tcPr>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Pod</w:t>
            </w: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Height</w:t>
            </w:r>
          </w:p>
        </w:tc>
        <w:tc>
          <w:tcPr>
            <w:tcW w:w="1209" w:type="dxa"/>
          </w:tcPr>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Day to</w:t>
            </w: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Mature(R8)</w:t>
            </w:r>
          </w:p>
        </w:tc>
        <w:tc>
          <w:tcPr>
            <w:tcW w:w="861" w:type="dxa"/>
          </w:tcPr>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Grain</w:t>
            </w: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Protein</w:t>
            </w:r>
          </w:p>
        </w:tc>
        <w:tc>
          <w:tcPr>
            <w:tcW w:w="805" w:type="dxa"/>
          </w:tcPr>
          <w:p w:rsidR="00A6250B" w:rsidRPr="00BC794D" w:rsidRDefault="00A6250B" w:rsidP="004C0394">
            <w:pPr>
              <w:contextualSpacing/>
              <w:jc w:val="center"/>
              <w:rPr>
                <w:rFonts w:ascii="Times New Roman" w:hAnsi="Times New Roman" w:cs="Times New Roman"/>
                <w:sz w:val="20"/>
                <w:szCs w:val="20"/>
              </w:rPr>
            </w:pP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Oil</w:t>
            </w:r>
          </w:p>
        </w:tc>
        <w:tc>
          <w:tcPr>
            <w:tcW w:w="775" w:type="dxa"/>
          </w:tcPr>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1000</w:t>
            </w: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KWT</w:t>
            </w:r>
          </w:p>
        </w:tc>
        <w:tc>
          <w:tcPr>
            <w:tcW w:w="765" w:type="dxa"/>
          </w:tcPr>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Test</w:t>
            </w: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Wt.</w:t>
            </w:r>
          </w:p>
        </w:tc>
        <w:tc>
          <w:tcPr>
            <w:tcW w:w="765" w:type="dxa"/>
          </w:tcPr>
          <w:p w:rsidR="00A6250B" w:rsidRPr="00BC794D" w:rsidRDefault="00A6250B" w:rsidP="004C0394">
            <w:pPr>
              <w:contextualSpacing/>
              <w:jc w:val="center"/>
              <w:rPr>
                <w:rFonts w:ascii="Times New Roman" w:hAnsi="Times New Roman" w:cs="Times New Roman"/>
                <w:sz w:val="20"/>
                <w:szCs w:val="20"/>
              </w:rPr>
            </w:pP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Yield</w:t>
            </w:r>
          </w:p>
        </w:tc>
        <w:tc>
          <w:tcPr>
            <w:tcW w:w="847" w:type="dxa"/>
          </w:tcPr>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Net</w:t>
            </w:r>
          </w:p>
          <w:p w:rsidR="00A6250B" w:rsidRPr="00BC794D" w:rsidRDefault="00A6250B" w:rsidP="004C0394">
            <w:pPr>
              <w:contextualSpacing/>
              <w:jc w:val="center"/>
              <w:rPr>
                <w:rFonts w:ascii="Times New Roman" w:hAnsi="Times New Roman" w:cs="Times New Roman"/>
                <w:sz w:val="20"/>
                <w:szCs w:val="20"/>
              </w:rPr>
            </w:pPr>
            <w:r w:rsidRPr="00BC794D">
              <w:rPr>
                <w:rFonts w:ascii="Times New Roman" w:hAnsi="Times New Roman" w:cs="Times New Roman"/>
                <w:sz w:val="20"/>
                <w:szCs w:val="20"/>
              </w:rPr>
              <w:t>Return</w:t>
            </w:r>
          </w:p>
        </w:tc>
      </w:tr>
      <w:tr w:rsidR="00BC794D" w:rsidRPr="00BC794D" w:rsidTr="0016015D">
        <w:trPr>
          <w:trHeight w:val="183"/>
        </w:trPr>
        <w:tc>
          <w:tcPr>
            <w:tcW w:w="1189" w:type="dxa"/>
          </w:tcPr>
          <w:p w:rsidR="00A6250B" w:rsidRPr="00BC794D" w:rsidRDefault="00A6250B" w:rsidP="00BC794D">
            <w:pPr>
              <w:contextualSpacing/>
              <w:rPr>
                <w:rFonts w:ascii="Times New Roman" w:hAnsi="Times New Roman" w:cs="Times New Roman"/>
                <w:sz w:val="20"/>
                <w:szCs w:val="20"/>
              </w:rPr>
            </w:pPr>
            <w:r w:rsidRPr="00BC794D">
              <w:rPr>
                <w:rFonts w:ascii="Times New Roman" w:hAnsi="Times New Roman" w:cs="Times New Roman"/>
                <w:sz w:val="20"/>
                <w:szCs w:val="20"/>
              </w:rPr>
              <w:t>Date (D)</w:t>
            </w:r>
          </w:p>
        </w:tc>
        <w:tc>
          <w:tcPr>
            <w:tcW w:w="660"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.1368</w:t>
            </w:r>
          </w:p>
        </w:tc>
        <w:tc>
          <w:tcPr>
            <w:tcW w:w="80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786"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.0008</w:t>
            </w:r>
          </w:p>
        </w:tc>
        <w:tc>
          <w:tcPr>
            <w:tcW w:w="1209"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861"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.0132</w:t>
            </w:r>
          </w:p>
        </w:tc>
        <w:tc>
          <w:tcPr>
            <w:tcW w:w="80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77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.0711</w:t>
            </w:r>
          </w:p>
        </w:tc>
        <w:tc>
          <w:tcPr>
            <w:tcW w:w="76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.0002</w:t>
            </w:r>
          </w:p>
        </w:tc>
        <w:tc>
          <w:tcPr>
            <w:tcW w:w="76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847"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r>
      <w:tr w:rsidR="00BC794D" w:rsidRPr="00BC794D" w:rsidTr="0016015D">
        <w:trPr>
          <w:trHeight w:val="197"/>
        </w:trPr>
        <w:tc>
          <w:tcPr>
            <w:tcW w:w="1189" w:type="dxa"/>
          </w:tcPr>
          <w:p w:rsidR="00A6250B" w:rsidRPr="00BC794D" w:rsidRDefault="00A6250B" w:rsidP="0016015D">
            <w:pPr>
              <w:contextualSpacing/>
              <w:rPr>
                <w:rFonts w:ascii="Times New Roman" w:hAnsi="Times New Roman" w:cs="Times New Roman"/>
                <w:sz w:val="20"/>
                <w:szCs w:val="20"/>
              </w:rPr>
            </w:pPr>
            <w:r w:rsidRPr="00BC794D">
              <w:rPr>
                <w:rFonts w:ascii="Times New Roman" w:hAnsi="Times New Roman" w:cs="Times New Roman"/>
                <w:sz w:val="20"/>
                <w:szCs w:val="20"/>
              </w:rPr>
              <w:t xml:space="preserve">Cultivar </w:t>
            </w:r>
            <w:r w:rsidR="0016015D">
              <w:rPr>
                <w:rFonts w:ascii="Times New Roman" w:hAnsi="Times New Roman" w:cs="Times New Roman"/>
                <w:sz w:val="20"/>
                <w:szCs w:val="20"/>
              </w:rPr>
              <w:t>(C)</w:t>
            </w:r>
          </w:p>
        </w:tc>
        <w:tc>
          <w:tcPr>
            <w:tcW w:w="660"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.2107</w:t>
            </w:r>
          </w:p>
        </w:tc>
        <w:tc>
          <w:tcPr>
            <w:tcW w:w="80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786"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.0083</w:t>
            </w:r>
          </w:p>
        </w:tc>
        <w:tc>
          <w:tcPr>
            <w:tcW w:w="1209"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861"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80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77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76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76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.0111</w:t>
            </w:r>
          </w:p>
        </w:tc>
        <w:tc>
          <w:tcPr>
            <w:tcW w:w="847"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.0117</w:t>
            </w:r>
          </w:p>
        </w:tc>
      </w:tr>
      <w:tr w:rsidR="00BC794D" w:rsidRPr="00BC794D" w:rsidTr="0016015D">
        <w:trPr>
          <w:trHeight w:val="183"/>
        </w:trPr>
        <w:tc>
          <w:tcPr>
            <w:tcW w:w="1189" w:type="dxa"/>
          </w:tcPr>
          <w:p w:rsidR="00A6250B" w:rsidRPr="00BC794D" w:rsidRDefault="00A6250B" w:rsidP="00BC794D">
            <w:pPr>
              <w:contextualSpacing/>
              <w:rPr>
                <w:rFonts w:ascii="Times New Roman" w:hAnsi="Times New Roman" w:cs="Times New Roman"/>
                <w:sz w:val="20"/>
                <w:szCs w:val="20"/>
              </w:rPr>
            </w:pPr>
            <w:r w:rsidRPr="00BC794D">
              <w:rPr>
                <w:rFonts w:ascii="Times New Roman" w:hAnsi="Times New Roman" w:cs="Times New Roman"/>
                <w:sz w:val="20"/>
                <w:szCs w:val="20"/>
              </w:rPr>
              <w:t>D x C</w:t>
            </w:r>
          </w:p>
        </w:tc>
        <w:tc>
          <w:tcPr>
            <w:tcW w:w="660"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.7499</w:t>
            </w:r>
          </w:p>
        </w:tc>
        <w:tc>
          <w:tcPr>
            <w:tcW w:w="80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.3496</w:t>
            </w:r>
          </w:p>
        </w:tc>
        <w:tc>
          <w:tcPr>
            <w:tcW w:w="786"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.8966</w:t>
            </w:r>
          </w:p>
        </w:tc>
        <w:tc>
          <w:tcPr>
            <w:tcW w:w="1209"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.0282</w:t>
            </w:r>
          </w:p>
        </w:tc>
        <w:tc>
          <w:tcPr>
            <w:tcW w:w="861"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.1760</w:t>
            </w:r>
          </w:p>
        </w:tc>
        <w:tc>
          <w:tcPr>
            <w:tcW w:w="80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.0002</w:t>
            </w:r>
          </w:p>
        </w:tc>
        <w:tc>
          <w:tcPr>
            <w:tcW w:w="77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.2582</w:t>
            </w:r>
          </w:p>
        </w:tc>
        <w:tc>
          <w:tcPr>
            <w:tcW w:w="76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&lt;.0001</w:t>
            </w:r>
          </w:p>
        </w:tc>
        <w:tc>
          <w:tcPr>
            <w:tcW w:w="76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.0207</w:t>
            </w:r>
          </w:p>
        </w:tc>
        <w:tc>
          <w:tcPr>
            <w:tcW w:w="847"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.0210</w:t>
            </w:r>
          </w:p>
        </w:tc>
      </w:tr>
      <w:tr w:rsidR="00BC794D" w:rsidRPr="00BC794D" w:rsidTr="0016015D">
        <w:trPr>
          <w:trHeight w:val="171"/>
        </w:trPr>
        <w:tc>
          <w:tcPr>
            <w:tcW w:w="1189" w:type="dxa"/>
          </w:tcPr>
          <w:p w:rsidR="00A6250B" w:rsidRPr="00BC794D" w:rsidRDefault="00A6250B" w:rsidP="00BC794D">
            <w:pPr>
              <w:contextualSpacing/>
              <w:rPr>
                <w:rFonts w:ascii="Times New Roman" w:hAnsi="Times New Roman" w:cs="Times New Roman"/>
                <w:sz w:val="20"/>
                <w:szCs w:val="20"/>
              </w:rPr>
            </w:pPr>
            <w:r w:rsidRPr="00BC794D">
              <w:rPr>
                <w:rFonts w:ascii="Times New Roman" w:hAnsi="Times New Roman" w:cs="Times New Roman"/>
                <w:sz w:val="20"/>
                <w:szCs w:val="20"/>
              </w:rPr>
              <w:t>CV%</w:t>
            </w:r>
          </w:p>
        </w:tc>
        <w:tc>
          <w:tcPr>
            <w:tcW w:w="660"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15.9</w:t>
            </w:r>
          </w:p>
        </w:tc>
        <w:tc>
          <w:tcPr>
            <w:tcW w:w="80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6.1</w:t>
            </w:r>
          </w:p>
        </w:tc>
        <w:tc>
          <w:tcPr>
            <w:tcW w:w="786"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15.9</w:t>
            </w:r>
          </w:p>
        </w:tc>
        <w:tc>
          <w:tcPr>
            <w:tcW w:w="1209"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0.9</w:t>
            </w:r>
          </w:p>
        </w:tc>
        <w:tc>
          <w:tcPr>
            <w:tcW w:w="861"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1.3</w:t>
            </w:r>
          </w:p>
        </w:tc>
        <w:tc>
          <w:tcPr>
            <w:tcW w:w="80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1.6</w:t>
            </w:r>
          </w:p>
        </w:tc>
        <w:tc>
          <w:tcPr>
            <w:tcW w:w="77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4.6</w:t>
            </w:r>
          </w:p>
        </w:tc>
        <w:tc>
          <w:tcPr>
            <w:tcW w:w="76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1.1</w:t>
            </w:r>
          </w:p>
        </w:tc>
        <w:tc>
          <w:tcPr>
            <w:tcW w:w="765"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5.7</w:t>
            </w:r>
          </w:p>
        </w:tc>
        <w:tc>
          <w:tcPr>
            <w:tcW w:w="847" w:type="dxa"/>
          </w:tcPr>
          <w:p w:rsidR="00A6250B" w:rsidRPr="00BC794D" w:rsidRDefault="00BC794D" w:rsidP="00BC794D">
            <w:pPr>
              <w:contextualSpacing/>
              <w:jc w:val="center"/>
              <w:rPr>
                <w:rFonts w:ascii="Times New Roman" w:hAnsi="Times New Roman" w:cs="Times New Roman"/>
                <w:sz w:val="20"/>
                <w:szCs w:val="20"/>
              </w:rPr>
            </w:pPr>
            <w:r w:rsidRPr="00BC794D">
              <w:rPr>
                <w:rFonts w:ascii="Times New Roman" w:hAnsi="Times New Roman" w:cs="Times New Roman"/>
                <w:sz w:val="20"/>
                <w:szCs w:val="20"/>
              </w:rPr>
              <w:t>5.7</w:t>
            </w:r>
          </w:p>
        </w:tc>
      </w:tr>
    </w:tbl>
    <w:p w:rsidR="00D62294" w:rsidRPr="00BC794D" w:rsidRDefault="00D62294" w:rsidP="00BC794D">
      <w:pPr>
        <w:spacing w:line="240" w:lineRule="auto"/>
        <w:contextualSpacing/>
        <w:jc w:val="center"/>
        <w:rPr>
          <w:rFonts w:ascii="Times New Roman" w:hAnsi="Times New Roman" w:cs="Times New Roman"/>
          <w:sz w:val="20"/>
          <w:szCs w:val="20"/>
        </w:rPr>
      </w:pPr>
    </w:p>
    <w:p w:rsidR="00D62294" w:rsidRDefault="00D62294" w:rsidP="009D703E">
      <w:pPr>
        <w:spacing w:line="240" w:lineRule="auto"/>
        <w:contextualSpacing/>
      </w:pPr>
    </w:p>
    <w:p w:rsidR="00212469" w:rsidRPr="00532AAB" w:rsidRDefault="00212469" w:rsidP="00212469">
      <w:pPr>
        <w:spacing w:line="240" w:lineRule="auto"/>
        <w:contextualSpacing/>
        <w:rPr>
          <w:rFonts w:ascii="Times New Roman" w:hAnsi="Times New Roman" w:cs="Times New Roman"/>
          <w:b/>
        </w:rPr>
      </w:pPr>
      <w:r w:rsidRPr="00532AAB">
        <w:rPr>
          <w:rFonts w:ascii="Times New Roman" w:hAnsi="Times New Roman" w:cs="Times New Roman"/>
          <w:b/>
        </w:rPr>
        <w:t xml:space="preserve">Table </w:t>
      </w:r>
      <w:r w:rsidR="005E4B16" w:rsidRPr="00532AAB">
        <w:rPr>
          <w:rFonts w:ascii="Times New Roman" w:hAnsi="Times New Roman" w:cs="Times New Roman"/>
          <w:b/>
        </w:rPr>
        <w:t>2</w:t>
      </w:r>
      <w:r w:rsidRPr="00532AAB">
        <w:rPr>
          <w:rFonts w:ascii="Times New Roman" w:hAnsi="Times New Roman" w:cs="Times New Roman"/>
          <w:b/>
        </w:rPr>
        <w:t>.  Seeding date effects on various agronomi</w:t>
      </w:r>
      <w:r w:rsidR="0016015D">
        <w:rPr>
          <w:rFonts w:ascii="Times New Roman" w:hAnsi="Times New Roman" w:cs="Times New Roman"/>
          <w:b/>
        </w:rPr>
        <w:t>c traits averaged over cultivar maturity group</w:t>
      </w:r>
      <w:r w:rsidRPr="00532AAB">
        <w:rPr>
          <w:rFonts w:ascii="Times New Roman" w:hAnsi="Times New Roman" w:cs="Times New Roman"/>
          <w:b/>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207"/>
        <w:gridCol w:w="1207"/>
        <w:gridCol w:w="1247"/>
        <w:gridCol w:w="1221"/>
        <w:gridCol w:w="1128"/>
        <w:gridCol w:w="1171"/>
        <w:gridCol w:w="1225"/>
      </w:tblGrid>
      <w:tr w:rsidR="00532AAB" w:rsidRPr="005A5556" w:rsidTr="00532AAB">
        <w:trPr>
          <w:trHeight w:val="242"/>
        </w:trPr>
        <w:tc>
          <w:tcPr>
            <w:tcW w:w="1247" w:type="dxa"/>
            <w:tcBorders>
              <w:top w:val="single" w:sz="4" w:space="0" w:color="auto"/>
            </w:tcBorders>
          </w:tcPr>
          <w:p w:rsidR="00C22E55" w:rsidRPr="00BC794D" w:rsidRDefault="00532AAB" w:rsidP="00C22E55">
            <w:pPr>
              <w:contextualSpacing/>
              <w:rPr>
                <w:rFonts w:ascii="Times New Roman" w:hAnsi="Times New Roman" w:cs="Times New Roman"/>
              </w:rPr>
            </w:pPr>
            <w:r>
              <w:rPr>
                <w:rFonts w:ascii="Times New Roman" w:hAnsi="Times New Roman" w:cs="Times New Roman"/>
              </w:rPr>
              <w:t>Seeding</w:t>
            </w:r>
          </w:p>
        </w:tc>
        <w:tc>
          <w:tcPr>
            <w:tcW w:w="1207" w:type="dxa"/>
            <w:tcBorders>
              <w:top w:val="single" w:sz="4" w:space="0" w:color="auto"/>
            </w:tcBorders>
          </w:tcPr>
          <w:p w:rsidR="00532AAB" w:rsidRPr="00BC794D" w:rsidRDefault="00532AAB" w:rsidP="00532AAB">
            <w:pPr>
              <w:contextualSpacing/>
              <w:jc w:val="center"/>
              <w:rPr>
                <w:rFonts w:ascii="Times New Roman" w:hAnsi="Times New Roman" w:cs="Times New Roman"/>
              </w:rPr>
            </w:pPr>
            <w:r>
              <w:rPr>
                <w:rFonts w:ascii="Times New Roman" w:hAnsi="Times New Roman" w:cs="Times New Roman"/>
              </w:rPr>
              <w:t>Plant</w:t>
            </w:r>
          </w:p>
        </w:tc>
        <w:tc>
          <w:tcPr>
            <w:tcW w:w="1207"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Pr>
                <w:rFonts w:ascii="Times New Roman" w:hAnsi="Times New Roman" w:cs="Times New Roman"/>
              </w:rPr>
              <w:t>Pod</w:t>
            </w:r>
          </w:p>
        </w:tc>
        <w:tc>
          <w:tcPr>
            <w:tcW w:w="1247"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Days to</w:t>
            </w:r>
          </w:p>
        </w:tc>
        <w:tc>
          <w:tcPr>
            <w:tcW w:w="1221"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Grain</w:t>
            </w:r>
          </w:p>
        </w:tc>
        <w:tc>
          <w:tcPr>
            <w:tcW w:w="1128" w:type="dxa"/>
            <w:tcBorders>
              <w:top w:val="single" w:sz="4" w:space="0" w:color="auto"/>
            </w:tcBorders>
          </w:tcPr>
          <w:p w:rsidR="00C22E55" w:rsidRPr="00BC794D" w:rsidRDefault="00C22E55" w:rsidP="00C22E55">
            <w:pPr>
              <w:contextualSpacing/>
              <w:jc w:val="center"/>
              <w:rPr>
                <w:rFonts w:ascii="Times New Roman" w:hAnsi="Times New Roman" w:cs="Times New Roman"/>
              </w:rPr>
            </w:pPr>
          </w:p>
        </w:tc>
        <w:tc>
          <w:tcPr>
            <w:tcW w:w="1171"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1000</w:t>
            </w:r>
          </w:p>
        </w:tc>
        <w:tc>
          <w:tcPr>
            <w:tcW w:w="1225"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Test</w:t>
            </w:r>
          </w:p>
        </w:tc>
      </w:tr>
      <w:tr w:rsidR="00C22E55" w:rsidRPr="005A5556" w:rsidTr="00532AAB">
        <w:tc>
          <w:tcPr>
            <w:tcW w:w="1247" w:type="dxa"/>
            <w:tcBorders>
              <w:bottom w:val="single" w:sz="4" w:space="0" w:color="auto"/>
            </w:tcBorders>
          </w:tcPr>
          <w:p w:rsidR="00C22E55" w:rsidRPr="00BC794D" w:rsidRDefault="00C22E55" w:rsidP="00C22E55">
            <w:pPr>
              <w:contextualSpacing/>
              <w:rPr>
                <w:rFonts w:ascii="Times New Roman" w:hAnsi="Times New Roman" w:cs="Times New Roman"/>
              </w:rPr>
            </w:pPr>
            <w:r w:rsidRPr="00BC794D">
              <w:rPr>
                <w:rFonts w:ascii="Times New Roman" w:hAnsi="Times New Roman" w:cs="Times New Roman"/>
              </w:rPr>
              <w:t>Date</w:t>
            </w:r>
          </w:p>
        </w:tc>
        <w:tc>
          <w:tcPr>
            <w:tcW w:w="120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Height</w:t>
            </w:r>
          </w:p>
        </w:tc>
        <w:tc>
          <w:tcPr>
            <w:tcW w:w="120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Pr>
                <w:rFonts w:ascii="Times New Roman" w:hAnsi="Times New Roman" w:cs="Times New Roman"/>
              </w:rPr>
              <w:t>Height</w:t>
            </w:r>
          </w:p>
        </w:tc>
        <w:tc>
          <w:tcPr>
            <w:tcW w:w="124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Mature</w:t>
            </w:r>
            <w:r w:rsidRPr="00C5470B">
              <w:rPr>
                <w:rFonts w:ascii="Times New Roman" w:hAnsi="Times New Roman" w:cs="Times New Roman"/>
                <w:vertAlign w:val="superscript"/>
              </w:rPr>
              <w:t>3</w:t>
            </w:r>
          </w:p>
        </w:tc>
        <w:tc>
          <w:tcPr>
            <w:tcW w:w="1221"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Protein</w:t>
            </w:r>
          </w:p>
        </w:tc>
        <w:tc>
          <w:tcPr>
            <w:tcW w:w="1128"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Oil</w:t>
            </w:r>
          </w:p>
        </w:tc>
        <w:tc>
          <w:tcPr>
            <w:tcW w:w="1171"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KWT</w:t>
            </w:r>
          </w:p>
        </w:tc>
        <w:tc>
          <w:tcPr>
            <w:tcW w:w="1225"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Weight</w:t>
            </w:r>
          </w:p>
        </w:tc>
      </w:tr>
      <w:tr w:rsidR="00C22E55" w:rsidRPr="005A5556" w:rsidTr="00C22E55">
        <w:trPr>
          <w:trHeight w:val="350"/>
        </w:trPr>
        <w:tc>
          <w:tcPr>
            <w:tcW w:w="1247" w:type="dxa"/>
            <w:tcBorders>
              <w:top w:val="single" w:sz="4" w:space="0" w:color="auto"/>
            </w:tcBorders>
          </w:tcPr>
          <w:p w:rsidR="00C22E55" w:rsidRPr="00BC794D" w:rsidRDefault="00C22E55" w:rsidP="00C22E55">
            <w:pPr>
              <w:contextualSpacing/>
              <w:rPr>
                <w:rFonts w:ascii="Times New Roman" w:hAnsi="Times New Roman" w:cs="Times New Roman"/>
              </w:rPr>
            </w:pPr>
          </w:p>
        </w:tc>
        <w:tc>
          <w:tcPr>
            <w:tcW w:w="1207"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inches</w:t>
            </w:r>
          </w:p>
        </w:tc>
        <w:tc>
          <w:tcPr>
            <w:tcW w:w="1207"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inches</w:t>
            </w:r>
          </w:p>
        </w:tc>
        <w:tc>
          <w:tcPr>
            <w:tcW w:w="1247"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DAP</w:t>
            </w:r>
            <w:r w:rsidRPr="00BC794D">
              <w:rPr>
                <w:rFonts w:ascii="Times New Roman" w:hAnsi="Times New Roman" w:cs="Times New Roman"/>
                <w:vertAlign w:val="superscript"/>
              </w:rPr>
              <w:t>1</w:t>
            </w:r>
          </w:p>
        </w:tc>
        <w:tc>
          <w:tcPr>
            <w:tcW w:w="1221"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w:t>
            </w:r>
          </w:p>
        </w:tc>
        <w:tc>
          <w:tcPr>
            <w:tcW w:w="1128"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w:t>
            </w:r>
          </w:p>
        </w:tc>
        <w:tc>
          <w:tcPr>
            <w:tcW w:w="1171"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g</w:t>
            </w:r>
          </w:p>
        </w:tc>
        <w:tc>
          <w:tcPr>
            <w:tcW w:w="1225" w:type="dxa"/>
            <w:tcBorders>
              <w:top w:val="single" w:sz="4" w:space="0" w:color="auto"/>
            </w:tcBorders>
          </w:tcPr>
          <w:p w:rsidR="00C22E55" w:rsidRPr="00BC794D" w:rsidRDefault="00C22E55" w:rsidP="00C22E55">
            <w:pPr>
              <w:contextualSpacing/>
              <w:jc w:val="center"/>
              <w:rPr>
                <w:rFonts w:ascii="Times New Roman" w:hAnsi="Times New Roman" w:cs="Times New Roman"/>
              </w:rPr>
            </w:pPr>
            <w:proofErr w:type="spellStart"/>
            <w:r w:rsidRPr="00BC794D">
              <w:rPr>
                <w:rFonts w:ascii="Times New Roman" w:hAnsi="Times New Roman" w:cs="Times New Roman"/>
              </w:rPr>
              <w:t>lbs</w:t>
            </w:r>
            <w:proofErr w:type="spellEnd"/>
            <w:r w:rsidRPr="00BC794D">
              <w:rPr>
                <w:rFonts w:ascii="Times New Roman" w:hAnsi="Times New Roman" w:cs="Times New Roman"/>
              </w:rPr>
              <w:t>/</w:t>
            </w:r>
            <w:proofErr w:type="spellStart"/>
            <w:r w:rsidRPr="00BC794D">
              <w:rPr>
                <w:rFonts w:ascii="Times New Roman" w:hAnsi="Times New Roman" w:cs="Times New Roman"/>
              </w:rPr>
              <w:t>bu</w:t>
            </w:r>
            <w:proofErr w:type="spellEnd"/>
          </w:p>
        </w:tc>
      </w:tr>
      <w:tr w:rsidR="00532AAB" w:rsidRPr="005A5556" w:rsidTr="00C22E55">
        <w:tc>
          <w:tcPr>
            <w:tcW w:w="1247" w:type="dxa"/>
          </w:tcPr>
          <w:p w:rsidR="00C22E55" w:rsidRPr="00BC794D" w:rsidRDefault="00C22E55" w:rsidP="00C22E55">
            <w:pPr>
              <w:contextualSpacing/>
              <w:rPr>
                <w:rFonts w:ascii="Times New Roman" w:hAnsi="Times New Roman" w:cs="Times New Roman"/>
              </w:rPr>
            </w:pPr>
            <w:r w:rsidRPr="00BC794D">
              <w:rPr>
                <w:rFonts w:ascii="Times New Roman" w:hAnsi="Times New Roman" w:cs="Times New Roman"/>
              </w:rPr>
              <w:t>May 15</w:t>
            </w:r>
          </w:p>
        </w:tc>
        <w:tc>
          <w:tcPr>
            <w:tcW w:w="120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31</w:t>
            </w:r>
          </w:p>
        </w:tc>
        <w:tc>
          <w:tcPr>
            <w:tcW w:w="120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4.6</w:t>
            </w:r>
          </w:p>
        </w:tc>
        <w:tc>
          <w:tcPr>
            <w:tcW w:w="124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102</w:t>
            </w:r>
          </w:p>
        </w:tc>
        <w:tc>
          <w:tcPr>
            <w:tcW w:w="1221"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32.8</w:t>
            </w:r>
          </w:p>
        </w:tc>
        <w:tc>
          <w:tcPr>
            <w:tcW w:w="1128"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15.9</w:t>
            </w:r>
          </w:p>
        </w:tc>
        <w:tc>
          <w:tcPr>
            <w:tcW w:w="1171"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181</w:t>
            </w:r>
          </w:p>
        </w:tc>
        <w:tc>
          <w:tcPr>
            <w:tcW w:w="1225"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54.3</w:t>
            </w:r>
          </w:p>
        </w:tc>
      </w:tr>
      <w:tr w:rsidR="00532AAB" w:rsidRPr="005A5556" w:rsidTr="00C22E55">
        <w:tc>
          <w:tcPr>
            <w:tcW w:w="1247" w:type="dxa"/>
          </w:tcPr>
          <w:p w:rsidR="00C22E55" w:rsidRPr="00BC794D" w:rsidRDefault="00C22E55" w:rsidP="00C22E55">
            <w:pPr>
              <w:contextualSpacing/>
              <w:rPr>
                <w:rFonts w:ascii="Times New Roman" w:hAnsi="Times New Roman" w:cs="Times New Roman"/>
              </w:rPr>
            </w:pPr>
            <w:r w:rsidRPr="00BC794D">
              <w:rPr>
                <w:rFonts w:ascii="Times New Roman" w:hAnsi="Times New Roman" w:cs="Times New Roman"/>
              </w:rPr>
              <w:t>May 24</w:t>
            </w:r>
          </w:p>
        </w:tc>
        <w:tc>
          <w:tcPr>
            <w:tcW w:w="120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29</w:t>
            </w:r>
          </w:p>
        </w:tc>
        <w:tc>
          <w:tcPr>
            <w:tcW w:w="120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5.1</w:t>
            </w:r>
          </w:p>
        </w:tc>
        <w:tc>
          <w:tcPr>
            <w:tcW w:w="124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100</w:t>
            </w:r>
          </w:p>
        </w:tc>
        <w:tc>
          <w:tcPr>
            <w:tcW w:w="1221"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32.5</w:t>
            </w:r>
          </w:p>
        </w:tc>
        <w:tc>
          <w:tcPr>
            <w:tcW w:w="1128"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15.8</w:t>
            </w:r>
          </w:p>
        </w:tc>
        <w:tc>
          <w:tcPr>
            <w:tcW w:w="1171"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176</w:t>
            </w:r>
          </w:p>
        </w:tc>
        <w:tc>
          <w:tcPr>
            <w:tcW w:w="1225"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54.8</w:t>
            </w:r>
          </w:p>
        </w:tc>
      </w:tr>
      <w:tr w:rsidR="00532AAB" w:rsidRPr="005A5556" w:rsidTr="00C22E55">
        <w:tc>
          <w:tcPr>
            <w:tcW w:w="1247" w:type="dxa"/>
          </w:tcPr>
          <w:p w:rsidR="00C22E55" w:rsidRPr="00BC794D" w:rsidRDefault="00C22E55" w:rsidP="00C22E55">
            <w:pPr>
              <w:contextualSpacing/>
              <w:rPr>
                <w:rFonts w:ascii="Times New Roman" w:hAnsi="Times New Roman" w:cs="Times New Roman"/>
              </w:rPr>
            </w:pPr>
            <w:r w:rsidRPr="00BC794D">
              <w:rPr>
                <w:rFonts w:ascii="Times New Roman" w:hAnsi="Times New Roman" w:cs="Times New Roman"/>
              </w:rPr>
              <w:t>June 4</w:t>
            </w:r>
          </w:p>
        </w:tc>
        <w:tc>
          <w:tcPr>
            <w:tcW w:w="120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30</w:t>
            </w:r>
          </w:p>
        </w:tc>
        <w:tc>
          <w:tcPr>
            <w:tcW w:w="120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5.1</w:t>
            </w:r>
          </w:p>
        </w:tc>
        <w:tc>
          <w:tcPr>
            <w:tcW w:w="124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98</w:t>
            </w:r>
          </w:p>
        </w:tc>
        <w:tc>
          <w:tcPr>
            <w:tcW w:w="1221"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32.3</w:t>
            </w:r>
          </w:p>
        </w:tc>
        <w:tc>
          <w:tcPr>
            <w:tcW w:w="1128"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14.4</w:t>
            </w:r>
          </w:p>
        </w:tc>
        <w:tc>
          <w:tcPr>
            <w:tcW w:w="1171"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171</w:t>
            </w:r>
          </w:p>
        </w:tc>
        <w:tc>
          <w:tcPr>
            <w:tcW w:w="1225"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56.2</w:t>
            </w:r>
          </w:p>
        </w:tc>
      </w:tr>
      <w:tr w:rsidR="00532AAB" w:rsidRPr="005A5556" w:rsidTr="00C22E55">
        <w:tc>
          <w:tcPr>
            <w:tcW w:w="1247" w:type="dxa"/>
          </w:tcPr>
          <w:p w:rsidR="00C22E55" w:rsidRPr="00BC794D" w:rsidRDefault="00C22E55" w:rsidP="00C22E55">
            <w:pPr>
              <w:contextualSpacing/>
              <w:rPr>
                <w:rFonts w:ascii="Times New Roman" w:hAnsi="Times New Roman" w:cs="Times New Roman"/>
              </w:rPr>
            </w:pPr>
            <w:r w:rsidRPr="00BC794D">
              <w:rPr>
                <w:rFonts w:ascii="Times New Roman" w:hAnsi="Times New Roman" w:cs="Times New Roman"/>
              </w:rPr>
              <w:t>June14</w:t>
            </w:r>
          </w:p>
        </w:tc>
        <w:tc>
          <w:tcPr>
            <w:tcW w:w="120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27</w:t>
            </w:r>
          </w:p>
        </w:tc>
        <w:tc>
          <w:tcPr>
            <w:tcW w:w="120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3.8</w:t>
            </w:r>
          </w:p>
        </w:tc>
        <w:tc>
          <w:tcPr>
            <w:tcW w:w="1247"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91</w:t>
            </w:r>
          </w:p>
        </w:tc>
        <w:tc>
          <w:tcPr>
            <w:tcW w:w="1221"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31.7</w:t>
            </w:r>
          </w:p>
        </w:tc>
        <w:tc>
          <w:tcPr>
            <w:tcW w:w="1128"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14.0</w:t>
            </w:r>
          </w:p>
        </w:tc>
        <w:tc>
          <w:tcPr>
            <w:tcW w:w="1171"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179</w:t>
            </w:r>
          </w:p>
        </w:tc>
        <w:tc>
          <w:tcPr>
            <w:tcW w:w="1225" w:type="dxa"/>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54.3</w:t>
            </w:r>
          </w:p>
        </w:tc>
      </w:tr>
      <w:tr w:rsidR="00532AAB" w:rsidRPr="005A5556" w:rsidTr="00C22E55">
        <w:tc>
          <w:tcPr>
            <w:tcW w:w="1247" w:type="dxa"/>
            <w:tcBorders>
              <w:bottom w:val="single" w:sz="4" w:space="0" w:color="auto"/>
            </w:tcBorders>
          </w:tcPr>
          <w:p w:rsidR="00C22E55" w:rsidRPr="00BC794D" w:rsidRDefault="00C22E55" w:rsidP="00C22E55">
            <w:pPr>
              <w:contextualSpacing/>
              <w:rPr>
                <w:rFonts w:ascii="Times New Roman" w:hAnsi="Times New Roman" w:cs="Times New Roman"/>
              </w:rPr>
            </w:pPr>
            <w:r w:rsidRPr="00BC794D">
              <w:rPr>
                <w:rFonts w:ascii="Times New Roman" w:hAnsi="Times New Roman" w:cs="Times New Roman"/>
              </w:rPr>
              <w:t>June 25</w:t>
            </w:r>
          </w:p>
        </w:tc>
        <w:tc>
          <w:tcPr>
            <w:tcW w:w="120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23</w:t>
            </w:r>
          </w:p>
        </w:tc>
        <w:tc>
          <w:tcPr>
            <w:tcW w:w="120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3.6</w:t>
            </w:r>
          </w:p>
        </w:tc>
        <w:tc>
          <w:tcPr>
            <w:tcW w:w="124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w:t>
            </w:r>
            <w:r w:rsidRPr="00BC794D">
              <w:rPr>
                <w:rFonts w:ascii="Times New Roman" w:hAnsi="Times New Roman" w:cs="Times New Roman"/>
                <w:vertAlign w:val="superscript"/>
              </w:rPr>
              <w:t>2</w:t>
            </w:r>
          </w:p>
        </w:tc>
        <w:tc>
          <w:tcPr>
            <w:tcW w:w="1221"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w:t>
            </w:r>
          </w:p>
        </w:tc>
        <w:tc>
          <w:tcPr>
            <w:tcW w:w="1128"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w:t>
            </w:r>
          </w:p>
        </w:tc>
        <w:tc>
          <w:tcPr>
            <w:tcW w:w="1171"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w:t>
            </w:r>
          </w:p>
        </w:tc>
        <w:tc>
          <w:tcPr>
            <w:tcW w:w="1225"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w:t>
            </w:r>
          </w:p>
        </w:tc>
      </w:tr>
      <w:tr w:rsidR="00532AAB" w:rsidRPr="005A5556" w:rsidTr="00C22E55">
        <w:tc>
          <w:tcPr>
            <w:tcW w:w="1247" w:type="dxa"/>
            <w:tcBorders>
              <w:top w:val="single" w:sz="4" w:space="0" w:color="auto"/>
            </w:tcBorders>
          </w:tcPr>
          <w:p w:rsidR="00C22E55" w:rsidRPr="00BC794D" w:rsidRDefault="00C22E55" w:rsidP="00C22E55">
            <w:pPr>
              <w:contextualSpacing/>
              <w:rPr>
                <w:rFonts w:ascii="Times New Roman" w:hAnsi="Times New Roman" w:cs="Times New Roman"/>
              </w:rPr>
            </w:pPr>
            <w:r w:rsidRPr="00BC794D">
              <w:rPr>
                <w:rFonts w:ascii="Times New Roman" w:hAnsi="Times New Roman" w:cs="Times New Roman"/>
              </w:rPr>
              <w:t>Mean</w:t>
            </w:r>
          </w:p>
        </w:tc>
        <w:tc>
          <w:tcPr>
            <w:tcW w:w="1207"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28</w:t>
            </w:r>
          </w:p>
        </w:tc>
        <w:tc>
          <w:tcPr>
            <w:tcW w:w="1207"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4.4</w:t>
            </w:r>
          </w:p>
        </w:tc>
        <w:tc>
          <w:tcPr>
            <w:tcW w:w="1247"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97</w:t>
            </w:r>
          </w:p>
        </w:tc>
        <w:tc>
          <w:tcPr>
            <w:tcW w:w="1221"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32.3</w:t>
            </w:r>
          </w:p>
        </w:tc>
        <w:tc>
          <w:tcPr>
            <w:tcW w:w="1128"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15.1</w:t>
            </w:r>
          </w:p>
        </w:tc>
        <w:tc>
          <w:tcPr>
            <w:tcW w:w="1171"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177</w:t>
            </w:r>
          </w:p>
        </w:tc>
        <w:tc>
          <w:tcPr>
            <w:tcW w:w="1225" w:type="dxa"/>
            <w:tcBorders>
              <w:top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54.9</w:t>
            </w:r>
          </w:p>
        </w:tc>
      </w:tr>
      <w:tr w:rsidR="00532AAB" w:rsidRPr="005A5556" w:rsidTr="00C22E55">
        <w:tc>
          <w:tcPr>
            <w:tcW w:w="1247" w:type="dxa"/>
            <w:tcBorders>
              <w:bottom w:val="single" w:sz="4" w:space="0" w:color="auto"/>
            </w:tcBorders>
          </w:tcPr>
          <w:p w:rsidR="00C22E55" w:rsidRPr="00BC794D" w:rsidRDefault="00C22E55" w:rsidP="00C22E55">
            <w:pPr>
              <w:contextualSpacing/>
              <w:rPr>
                <w:rFonts w:ascii="Times New Roman" w:hAnsi="Times New Roman" w:cs="Times New Roman"/>
              </w:rPr>
            </w:pPr>
            <w:r w:rsidRPr="00BC794D">
              <w:rPr>
                <w:rFonts w:ascii="Times New Roman" w:hAnsi="Times New Roman" w:cs="Times New Roman"/>
              </w:rPr>
              <w:t>LSD 5%</w:t>
            </w:r>
          </w:p>
        </w:tc>
        <w:tc>
          <w:tcPr>
            <w:tcW w:w="120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1.4</w:t>
            </w:r>
          </w:p>
        </w:tc>
        <w:tc>
          <w:tcPr>
            <w:tcW w:w="120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0.6</w:t>
            </w:r>
          </w:p>
        </w:tc>
        <w:tc>
          <w:tcPr>
            <w:tcW w:w="1247"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0.5</w:t>
            </w:r>
          </w:p>
        </w:tc>
        <w:tc>
          <w:tcPr>
            <w:tcW w:w="1221"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Pr>
                <w:rFonts w:ascii="Times New Roman" w:hAnsi="Times New Roman" w:cs="Times New Roman"/>
              </w:rPr>
              <w:t>NS</w:t>
            </w:r>
          </w:p>
        </w:tc>
        <w:tc>
          <w:tcPr>
            <w:tcW w:w="1128"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0.2</w:t>
            </w:r>
          </w:p>
        </w:tc>
        <w:tc>
          <w:tcPr>
            <w:tcW w:w="1171"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Pr>
                <w:rFonts w:ascii="Times New Roman" w:hAnsi="Times New Roman" w:cs="Times New Roman"/>
              </w:rPr>
              <w:t>NS</w:t>
            </w:r>
          </w:p>
        </w:tc>
        <w:tc>
          <w:tcPr>
            <w:tcW w:w="1225" w:type="dxa"/>
            <w:tcBorders>
              <w:bottom w:val="single" w:sz="4" w:space="0" w:color="auto"/>
            </w:tcBorders>
          </w:tcPr>
          <w:p w:rsidR="00C22E55" w:rsidRPr="00BC794D" w:rsidRDefault="00C22E55" w:rsidP="00C22E55">
            <w:pPr>
              <w:contextualSpacing/>
              <w:jc w:val="center"/>
              <w:rPr>
                <w:rFonts w:ascii="Times New Roman" w:hAnsi="Times New Roman" w:cs="Times New Roman"/>
              </w:rPr>
            </w:pPr>
            <w:r w:rsidRPr="00BC794D">
              <w:rPr>
                <w:rFonts w:ascii="Times New Roman" w:hAnsi="Times New Roman" w:cs="Times New Roman"/>
              </w:rPr>
              <w:t>0.5</w:t>
            </w:r>
          </w:p>
        </w:tc>
      </w:tr>
    </w:tbl>
    <w:p w:rsidR="00212469" w:rsidRDefault="00212469" w:rsidP="00212469">
      <w:pPr>
        <w:spacing w:line="240" w:lineRule="auto"/>
        <w:contextualSpacing/>
      </w:pPr>
    </w:p>
    <w:p w:rsidR="00212469" w:rsidRPr="00532AAB" w:rsidRDefault="00212469" w:rsidP="00212469">
      <w:pPr>
        <w:spacing w:line="240" w:lineRule="auto"/>
        <w:contextualSpacing/>
        <w:rPr>
          <w:rFonts w:ascii="Times New Roman" w:hAnsi="Times New Roman" w:cs="Times New Roman"/>
          <w:b/>
        </w:rPr>
      </w:pPr>
      <w:r w:rsidRPr="00532AAB">
        <w:rPr>
          <w:rFonts w:ascii="Times New Roman" w:hAnsi="Times New Roman" w:cs="Times New Roman"/>
          <w:b/>
        </w:rPr>
        <w:t xml:space="preserve">Cultivar </w:t>
      </w:r>
      <w:r w:rsidR="0016015D">
        <w:rPr>
          <w:rFonts w:ascii="Times New Roman" w:hAnsi="Times New Roman" w:cs="Times New Roman"/>
          <w:b/>
        </w:rPr>
        <w:t xml:space="preserve">maturity group </w:t>
      </w:r>
      <w:r w:rsidRPr="00532AAB">
        <w:rPr>
          <w:rFonts w:ascii="Times New Roman" w:hAnsi="Times New Roman" w:cs="Times New Roman"/>
          <w:b/>
        </w:rPr>
        <w:t>effect on various agronomic traits averaged over seeding dates</w:t>
      </w:r>
      <w:r w:rsidR="0016015D">
        <w:rPr>
          <w:rFonts w:ascii="Times New Roman" w:hAnsi="Times New Roman" w:cs="Times New Roman"/>
          <w:b/>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204"/>
        <w:gridCol w:w="1204"/>
        <w:gridCol w:w="1245"/>
        <w:gridCol w:w="1218"/>
        <w:gridCol w:w="1124"/>
        <w:gridCol w:w="1167"/>
        <w:gridCol w:w="1223"/>
      </w:tblGrid>
      <w:tr w:rsidR="00212469" w:rsidRPr="005A5556" w:rsidTr="00532AAB">
        <w:tc>
          <w:tcPr>
            <w:tcW w:w="1438" w:type="dxa"/>
            <w:tcBorders>
              <w:top w:val="single" w:sz="4" w:space="0" w:color="auto"/>
            </w:tcBorders>
          </w:tcPr>
          <w:p w:rsidR="00212469" w:rsidRPr="00BC794D" w:rsidRDefault="00212469" w:rsidP="00801B6E">
            <w:pPr>
              <w:contextualSpacing/>
              <w:rPr>
                <w:rFonts w:ascii="Times New Roman" w:hAnsi="Times New Roman" w:cs="Times New Roman"/>
              </w:rPr>
            </w:pPr>
            <w:r w:rsidRPr="00BC794D">
              <w:rPr>
                <w:rFonts w:ascii="Times New Roman" w:hAnsi="Times New Roman" w:cs="Times New Roman"/>
              </w:rPr>
              <w:t>Cultivar</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Plant</w:t>
            </w:r>
          </w:p>
        </w:tc>
        <w:tc>
          <w:tcPr>
            <w:tcW w:w="1439" w:type="dxa"/>
            <w:tcBorders>
              <w:top w:val="single" w:sz="4" w:space="0" w:color="auto"/>
            </w:tcBorders>
          </w:tcPr>
          <w:p w:rsidR="00212469" w:rsidRPr="00BC794D" w:rsidRDefault="007D4E83" w:rsidP="00801B6E">
            <w:pPr>
              <w:contextualSpacing/>
              <w:jc w:val="center"/>
              <w:rPr>
                <w:rFonts w:ascii="Times New Roman" w:hAnsi="Times New Roman" w:cs="Times New Roman"/>
              </w:rPr>
            </w:pPr>
            <w:r>
              <w:rPr>
                <w:rFonts w:ascii="Times New Roman" w:hAnsi="Times New Roman" w:cs="Times New Roman"/>
              </w:rPr>
              <w:t>Pod</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Days to</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Grain</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1000</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Test</w:t>
            </w:r>
          </w:p>
        </w:tc>
      </w:tr>
      <w:tr w:rsidR="00212469" w:rsidRPr="005A5556" w:rsidTr="00801B6E">
        <w:tc>
          <w:tcPr>
            <w:tcW w:w="1438" w:type="dxa"/>
            <w:tcBorders>
              <w:bottom w:val="single" w:sz="4" w:space="0" w:color="auto"/>
            </w:tcBorders>
          </w:tcPr>
          <w:p w:rsidR="00212469" w:rsidRPr="00BC794D" w:rsidRDefault="00212469" w:rsidP="00801B6E">
            <w:pPr>
              <w:contextualSpacing/>
              <w:rPr>
                <w:rFonts w:ascii="Times New Roman" w:hAnsi="Times New Roman" w:cs="Times New Roman"/>
              </w:rPr>
            </w:pPr>
            <w:r w:rsidRPr="00BC794D">
              <w:rPr>
                <w:rFonts w:ascii="Times New Roman" w:hAnsi="Times New Roman" w:cs="Times New Roman"/>
              </w:rPr>
              <w:t>Maturity</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Height</w:t>
            </w:r>
          </w:p>
        </w:tc>
        <w:tc>
          <w:tcPr>
            <w:tcW w:w="1439" w:type="dxa"/>
            <w:tcBorders>
              <w:bottom w:val="single" w:sz="4" w:space="0" w:color="auto"/>
            </w:tcBorders>
          </w:tcPr>
          <w:p w:rsidR="00212469" w:rsidRPr="00BC794D" w:rsidRDefault="007D4E83" w:rsidP="00801B6E">
            <w:pPr>
              <w:contextualSpacing/>
              <w:jc w:val="center"/>
              <w:rPr>
                <w:rFonts w:ascii="Times New Roman" w:hAnsi="Times New Roman" w:cs="Times New Roman"/>
              </w:rPr>
            </w:pPr>
            <w:r>
              <w:rPr>
                <w:rFonts w:ascii="Times New Roman" w:hAnsi="Times New Roman" w:cs="Times New Roman"/>
              </w:rPr>
              <w:t>Height</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Mature</w:t>
            </w:r>
            <w:r w:rsidR="00C5470B" w:rsidRPr="00C5470B">
              <w:rPr>
                <w:rFonts w:ascii="Times New Roman" w:hAnsi="Times New Roman" w:cs="Times New Roman"/>
                <w:vertAlign w:val="superscript"/>
              </w:rPr>
              <w:t>3</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Protein</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Oil</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KWT</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Weight</w:t>
            </w:r>
          </w:p>
        </w:tc>
      </w:tr>
      <w:tr w:rsidR="00212469" w:rsidRPr="005A5556" w:rsidTr="00C5470B">
        <w:trPr>
          <w:trHeight w:val="350"/>
        </w:trPr>
        <w:tc>
          <w:tcPr>
            <w:tcW w:w="1438" w:type="dxa"/>
            <w:tcBorders>
              <w:top w:val="single" w:sz="4" w:space="0" w:color="auto"/>
            </w:tcBorders>
          </w:tcPr>
          <w:p w:rsidR="00212469" w:rsidRPr="00BC794D" w:rsidRDefault="00C5470B" w:rsidP="00801B6E">
            <w:pPr>
              <w:contextualSpacing/>
              <w:rPr>
                <w:rFonts w:ascii="Times New Roman" w:hAnsi="Times New Roman" w:cs="Times New Roman"/>
              </w:rPr>
            </w:pPr>
            <w:r>
              <w:rPr>
                <w:rFonts w:ascii="Times New Roman" w:hAnsi="Times New Roman" w:cs="Times New Roman"/>
              </w:rPr>
              <w:t>Group</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inches</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inches</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DAP</w:t>
            </w:r>
            <w:r w:rsidRPr="00BC794D">
              <w:rPr>
                <w:rFonts w:ascii="Times New Roman" w:hAnsi="Times New Roman" w:cs="Times New Roman"/>
                <w:vertAlign w:val="superscript"/>
              </w:rPr>
              <w:t>1</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g</w:t>
            </w:r>
          </w:p>
        </w:tc>
        <w:tc>
          <w:tcPr>
            <w:tcW w:w="1439" w:type="dxa"/>
            <w:tcBorders>
              <w:top w:val="single" w:sz="4" w:space="0" w:color="auto"/>
            </w:tcBorders>
          </w:tcPr>
          <w:p w:rsidR="00212469" w:rsidRPr="00BC794D" w:rsidRDefault="00212469" w:rsidP="00801B6E">
            <w:pPr>
              <w:contextualSpacing/>
              <w:jc w:val="center"/>
              <w:rPr>
                <w:rFonts w:ascii="Times New Roman" w:hAnsi="Times New Roman" w:cs="Times New Roman"/>
              </w:rPr>
            </w:pPr>
            <w:proofErr w:type="spellStart"/>
            <w:r w:rsidRPr="00BC794D">
              <w:rPr>
                <w:rFonts w:ascii="Times New Roman" w:hAnsi="Times New Roman" w:cs="Times New Roman"/>
              </w:rPr>
              <w:t>lbs</w:t>
            </w:r>
            <w:proofErr w:type="spellEnd"/>
            <w:r w:rsidRPr="00BC794D">
              <w:rPr>
                <w:rFonts w:ascii="Times New Roman" w:hAnsi="Times New Roman" w:cs="Times New Roman"/>
              </w:rPr>
              <w:t>/</w:t>
            </w:r>
            <w:proofErr w:type="spellStart"/>
            <w:r w:rsidRPr="00BC794D">
              <w:rPr>
                <w:rFonts w:ascii="Times New Roman" w:hAnsi="Times New Roman" w:cs="Times New Roman"/>
              </w:rPr>
              <w:t>bu</w:t>
            </w:r>
            <w:proofErr w:type="spellEnd"/>
          </w:p>
        </w:tc>
      </w:tr>
      <w:tr w:rsidR="00212469" w:rsidRPr="005A5556" w:rsidTr="00C5470B">
        <w:tc>
          <w:tcPr>
            <w:tcW w:w="1438" w:type="dxa"/>
          </w:tcPr>
          <w:p w:rsidR="00212469" w:rsidRPr="00BC794D" w:rsidRDefault="00212469" w:rsidP="00801B6E">
            <w:pPr>
              <w:contextualSpacing/>
              <w:rPr>
                <w:rFonts w:ascii="Times New Roman" w:hAnsi="Times New Roman" w:cs="Times New Roman"/>
              </w:rPr>
            </w:pPr>
            <w:r w:rsidRPr="00BC794D">
              <w:rPr>
                <w:rFonts w:ascii="Times New Roman" w:hAnsi="Times New Roman" w:cs="Times New Roman"/>
              </w:rPr>
              <w:t>00.5</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26</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4.0</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94</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31.7</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15.4</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167</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55.6</w:t>
            </w:r>
          </w:p>
        </w:tc>
      </w:tr>
      <w:tr w:rsidR="00212469" w:rsidRPr="005A5556" w:rsidTr="00801B6E">
        <w:tc>
          <w:tcPr>
            <w:tcW w:w="1438" w:type="dxa"/>
          </w:tcPr>
          <w:p w:rsidR="00212469" w:rsidRPr="00BC794D" w:rsidRDefault="00212469" w:rsidP="00801B6E">
            <w:pPr>
              <w:contextualSpacing/>
              <w:rPr>
                <w:rFonts w:ascii="Times New Roman" w:hAnsi="Times New Roman" w:cs="Times New Roman"/>
              </w:rPr>
            </w:pPr>
            <w:r w:rsidRPr="00BC794D">
              <w:rPr>
                <w:rFonts w:ascii="Times New Roman" w:hAnsi="Times New Roman" w:cs="Times New Roman"/>
              </w:rPr>
              <w:t>00.9</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28</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4.5</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97</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32.2</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15.2</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174</w:t>
            </w:r>
          </w:p>
        </w:tc>
        <w:tc>
          <w:tcPr>
            <w:tcW w:w="1439" w:type="dxa"/>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54.9</w:t>
            </w:r>
          </w:p>
        </w:tc>
      </w:tr>
      <w:tr w:rsidR="00212469" w:rsidRPr="005A5556" w:rsidTr="00801B6E">
        <w:tc>
          <w:tcPr>
            <w:tcW w:w="1438" w:type="dxa"/>
            <w:tcBorders>
              <w:bottom w:val="single" w:sz="4" w:space="0" w:color="auto"/>
            </w:tcBorders>
          </w:tcPr>
          <w:p w:rsidR="00212469" w:rsidRPr="00BC794D" w:rsidRDefault="00212469" w:rsidP="00801B6E">
            <w:pPr>
              <w:contextualSpacing/>
              <w:rPr>
                <w:rFonts w:ascii="Times New Roman" w:hAnsi="Times New Roman" w:cs="Times New Roman"/>
              </w:rPr>
            </w:pPr>
            <w:r w:rsidRPr="00BC794D">
              <w:rPr>
                <w:rFonts w:ascii="Times New Roman" w:hAnsi="Times New Roman" w:cs="Times New Roman"/>
              </w:rPr>
              <w:t>0.1</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30</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4.7</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102</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33.1</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14.6</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190</w:t>
            </w:r>
          </w:p>
        </w:tc>
        <w:tc>
          <w:tcPr>
            <w:tcW w:w="1439" w:type="dxa"/>
            <w:tcBorders>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54.3</w:t>
            </w:r>
          </w:p>
        </w:tc>
      </w:tr>
      <w:tr w:rsidR="00212469" w:rsidRPr="005A5556" w:rsidTr="00801B6E">
        <w:tc>
          <w:tcPr>
            <w:tcW w:w="1438" w:type="dxa"/>
            <w:tcBorders>
              <w:top w:val="single" w:sz="4" w:space="0" w:color="auto"/>
              <w:bottom w:val="single" w:sz="4" w:space="0" w:color="auto"/>
            </w:tcBorders>
          </w:tcPr>
          <w:p w:rsidR="00212469" w:rsidRPr="00BC794D" w:rsidRDefault="00212469" w:rsidP="00801B6E">
            <w:pPr>
              <w:contextualSpacing/>
              <w:rPr>
                <w:rFonts w:ascii="Times New Roman" w:hAnsi="Times New Roman" w:cs="Times New Roman"/>
              </w:rPr>
            </w:pPr>
            <w:r w:rsidRPr="00BC794D">
              <w:rPr>
                <w:rFonts w:ascii="Times New Roman" w:hAnsi="Times New Roman" w:cs="Times New Roman"/>
              </w:rPr>
              <w:t>LSD 5%</w:t>
            </w:r>
          </w:p>
        </w:tc>
        <w:tc>
          <w:tcPr>
            <w:tcW w:w="1439" w:type="dxa"/>
            <w:tcBorders>
              <w:top w:val="single" w:sz="4" w:space="0" w:color="auto"/>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1.1</w:t>
            </w:r>
          </w:p>
        </w:tc>
        <w:tc>
          <w:tcPr>
            <w:tcW w:w="1439" w:type="dxa"/>
            <w:tcBorders>
              <w:top w:val="single" w:sz="4" w:space="0" w:color="auto"/>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0.5</w:t>
            </w:r>
          </w:p>
        </w:tc>
        <w:tc>
          <w:tcPr>
            <w:tcW w:w="1439" w:type="dxa"/>
            <w:tcBorders>
              <w:top w:val="single" w:sz="4" w:space="0" w:color="auto"/>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0.5</w:t>
            </w:r>
          </w:p>
        </w:tc>
        <w:tc>
          <w:tcPr>
            <w:tcW w:w="1439" w:type="dxa"/>
            <w:tcBorders>
              <w:top w:val="single" w:sz="4" w:space="0" w:color="auto"/>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0.3</w:t>
            </w:r>
          </w:p>
        </w:tc>
        <w:tc>
          <w:tcPr>
            <w:tcW w:w="1439" w:type="dxa"/>
            <w:tcBorders>
              <w:top w:val="single" w:sz="4" w:space="0" w:color="auto"/>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1.7</w:t>
            </w:r>
          </w:p>
        </w:tc>
        <w:tc>
          <w:tcPr>
            <w:tcW w:w="1439" w:type="dxa"/>
            <w:tcBorders>
              <w:top w:val="single" w:sz="4" w:space="0" w:color="auto"/>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6.0</w:t>
            </w:r>
          </w:p>
        </w:tc>
        <w:tc>
          <w:tcPr>
            <w:tcW w:w="1439" w:type="dxa"/>
            <w:tcBorders>
              <w:top w:val="single" w:sz="4" w:space="0" w:color="auto"/>
              <w:bottom w:val="single" w:sz="4" w:space="0" w:color="auto"/>
            </w:tcBorders>
          </w:tcPr>
          <w:p w:rsidR="00212469" w:rsidRPr="00BC794D" w:rsidRDefault="00212469" w:rsidP="00801B6E">
            <w:pPr>
              <w:contextualSpacing/>
              <w:jc w:val="center"/>
              <w:rPr>
                <w:rFonts w:ascii="Times New Roman" w:hAnsi="Times New Roman" w:cs="Times New Roman"/>
              </w:rPr>
            </w:pPr>
            <w:r w:rsidRPr="00BC794D">
              <w:rPr>
                <w:rFonts w:ascii="Times New Roman" w:hAnsi="Times New Roman" w:cs="Times New Roman"/>
              </w:rPr>
              <w:t>0.4</w:t>
            </w:r>
          </w:p>
        </w:tc>
      </w:tr>
    </w:tbl>
    <w:p w:rsidR="00212469" w:rsidRDefault="00212469">
      <w:pPr>
        <w:contextualSpacing/>
        <w:rPr>
          <w:rFonts w:ascii="Times New Roman" w:hAnsi="Times New Roman" w:cs="Times New Roman"/>
          <w:i/>
        </w:rPr>
      </w:pPr>
      <w:r w:rsidRPr="00BC794D">
        <w:rPr>
          <w:rFonts w:ascii="Times New Roman" w:hAnsi="Times New Roman" w:cs="Times New Roman"/>
          <w:i/>
          <w:vertAlign w:val="superscript"/>
        </w:rPr>
        <w:t>1</w:t>
      </w:r>
      <w:r w:rsidRPr="00BC794D">
        <w:rPr>
          <w:rFonts w:ascii="Times New Roman" w:hAnsi="Times New Roman" w:cs="Times New Roman"/>
          <w:i/>
        </w:rPr>
        <w:t xml:space="preserve">Days after planting.  </w:t>
      </w:r>
      <w:r w:rsidRPr="00BC794D">
        <w:rPr>
          <w:rFonts w:ascii="Times New Roman" w:hAnsi="Times New Roman" w:cs="Times New Roman"/>
          <w:i/>
          <w:vertAlign w:val="superscript"/>
        </w:rPr>
        <w:t>2</w:t>
      </w:r>
      <w:r w:rsidRPr="00BC794D">
        <w:rPr>
          <w:rFonts w:ascii="Times New Roman" w:hAnsi="Times New Roman" w:cs="Times New Roman"/>
          <w:i/>
        </w:rPr>
        <w:t>Cultivars seeded on June 25 did not mature prior to the first killing freeze</w:t>
      </w:r>
      <w:r w:rsidR="00C5470B">
        <w:rPr>
          <w:rFonts w:ascii="Times New Roman" w:hAnsi="Times New Roman" w:cs="Times New Roman"/>
          <w:i/>
        </w:rPr>
        <w:t>.</w:t>
      </w:r>
    </w:p>
    <w:p w:rsidR="00C5470B" w:rsidRDefault="00C5470B">
      <w:pPr>
        <w:contextualSpacing/>
        <w:rPr>
          <w:rFonts w:ascii="Times New Roman" w:hAnsi="Times New Roman" w:cs="Times New Roman"/>
          <w:i/>
        </w:rPr>
      </w:pPr>
      <w:r w:rsidRPr="00C5470B">
        <w:rPr>
          <w:rFonts w:ascii="Times New Roman" w:hAnsi="Times New Roman" w:cs="Times New Roman"/>
          <w:i/>
          <w:vertAlign w:val="superscript"/>
        </w:rPr>
        <w:t>3</w:t>
      </w:r>
      <w:r>
        <w:rPr>
          <w:rFonts w:ascii="Times New Roman" w:hAnsi="Times New Roman" w:cs="Times New Roman"/>
          <w:i/>
        </w:rPr>
        <w:t>Grow</w:t>
      </w:r>
      <w:r w:rsidR="00532AAB">
        <w:rPr>
          <w:rFonts w:ascii="Times New Roman" w:hAnsi="Times New Roman" w:cs="Times New Roman"/>
          <w:i/>
        </w:rPr>
        <w:t>th</w:t>
      </w:r>
      <w:r>
        <w:rPr>
          <w:rFonts w:ascii="Times New Roman" w:hAnsi="Times New Roman" w:cs="Times New Roman"/>
          <w:i/>
        </w:rPr>
        <w:t xml:space="preserve"> stage R8 – 95% brown pod.</w:t>
      </w:r>
    </w:p>
    <w:p w:rsidR="00C5470B" w:rsidRDefault="00C5470B">
      <w:pPr>
        <w:rPr>
          <w:rFonts w:ascii="Times New Roman" w:hAnsi="Times New Roman" w:cs="Times New Roman"/>
          <w:i/>
        </w:rPr>
      </w:pPr>
    </w:p>
    <w:p w:rsidR="00C5470B" w:rsidRPr="00BC794D" w:rsidRDefault="00C5470B">
      <w:pPr>
        <w:rPr>
          <w:rFonts w:ascii="Times New Roman" w:hAnsi="Times New Roman" w:cs="Times New Roman"/>
          <w:b/>
        </w:rPr>
      </w:pPr>
    </w:p>
    <w:p w:rsidR="00212469" w:rsidRDefault="00212469">
      <w:pPr>
        <w:rPr>
          <w:rFonts w:ascii="Times New Roman" w:hAnsi="Times New Roman" w:cs="Times New Roman"/>
          <w:b/>
          <w:sz w:val="24"/>
          <w:szCs w:val="24"/>
        </w:rPr>
      </w:pPr>
    </w:p>
    <w:p w:rsidR="00212469" w:rsidRDefault="00212469">
      <w:pPr>
        <w:rPr>
          <w:rFonts w:ascii="Times New Roman" w:hAnsi="Times New Roman" w:cs="Times New Roman"/>
          <w:b/>
          <w:sz w:val="24"/>
          <w:szCs w:val="24"/>
        </w:rPr>
      </w:pPr>
    </w:p>
    <w:p w:rsidR="00212469" w:rsidRDefault="00212469">
      <w:pPr>
        <w:rPr>
          <w:rFonts w:ascii="Times New Roman" w:hAnsi="Times New Roman" w:cs="Times New Roman"/>
          <w:b/>
          <w:sz w:val="24"/>
          <w:szCs w:val="24"/>
        </w:rPr>
      </w:pPr>
    </w:p>
    <w:p w:rsidR="00212469" w:rsidRDefault="00212469">
      <w:pPr>
        <w:rPr>
          <w:rFonts w:ascii="Times New Roman" w:hAnsi="Times New Roman" w:cs="Times New Roman"/>
          <w:b/>
          <w:sz w:val="24"/>
          <w:szCs w:val="24"/>
        </w:rPr>
      </w:pPr>
    </w:p>
    <w:p w:rsidR="00212469" w:rsidRDefault="00212469">
      <w:pPr>
        <w:rPr>
          <w:rFonts w:ascii="Times New Roman" w:hAnsi="Times New Roman" w:cs="Times New Roman"/>
          <w:b/>
          <w:sz w:val="24"/>
          <w:szCs w:val="24"/>
        </w:rPr>
      </w:pPr>
    </w:p>
    <w:p w:rsidR="001D57B9" w:rsidRPr="006D11C5" w:rsidRDefault="009B7103">
      <w:pPr>
        <w:rPr>
          <w:rFonts w:ascii="Times New Roman" w:hAnsi="Times New Roman" w:cs="Times New Roman"/>
          <w:b/>
          <w:sz w:val="24"/>
          <w:szCs w:val="24"/>
        </w:rPr>
      </w:pPr>
      <w:r w:rsidRPr="006D11C5">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219075</wp:posOffset>
            </wp:positionV>
            <wp:extent cx="5819775" cy="3838575"/>
            <wp:effectExtent l="0" t="0" r="9525"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1D57B9" w:rsidRPr="006D11C5">
        <w:rPr>
          <w:rFonts w:ascii="Times New Roman" w:hAnsi="Times New Roman" w:cs="Times New Roman"/>
          <w:b/>
          <w:sz w:val="24"/>
          <w:szCs w:val="24"/>
        </w:rPr>
        <w:t xml:space="preserve">   Figure 1.  Seeding date and cultivar </w:t>
      </w:r>
      <w:r w:rsidR="00471E5F">
        <w:rPr>
          <w:rFonts w:ascii="Times New Roman" w:hAnsi="Times New Roman" w:cs="Times New Roman"/>
          <w:b/>
          <w:sz w:val="24"/>
          <w:szCs w:val="24"/>
        </w:rPr>
        <w:t>maturity group e</w:t>
      </w:r>
      <w:r w:rsidR="001D57B9" w:rsidRPr="006D11C5">
        <w:rPr>
          <w:rFonts w:ascii="Times New Roman" w:hAnsi="Times New Roman" w:cs="Times New Roman"/>
          <w:b/>
          <w:sz w:val="24"/>
          <w:szCs w:val="24"/>
        </w:rPr>
        <w:t>ffect on soybean yield.</w:t>
      </w:r>
    </w:p>
    <w:p w:rsidR="00211001" w:rsidRPr="006D11C5" w:rsidRDefault="00211001" w:rsidP="00211001">
      <w:pPr>
        <w:rPr>
          <w:rFonts w:ascii="Times New Roman" w:hAnsi="Times New Roman" w:cs="Times New Roman"/>
          <w:b/>
          <w:sz w:val="24"/>
          <w:szCs w:val="24"/>
        </w:rPr>
      </w:pPr>
      <w:r w:rsidRPr="006D11C5">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4097020</wp:posOffset>
            </wp:positionV>
            <wp:extent cx="5871845" cy="3819525"/>
            <wp:effectExtent l="0" t="0" r="1460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Pr="006D11C5">
        <w:rPr>
          <w:rFonts w:ascii="Times New Roman" w:hAnsi="Times New Roman" w:cs="Times New Roman"/>
          <w:b/>
          <w:sz w:val="24"/>
          <w:szCs w:val="24"/>
        </w:rPr>
        <w:t xml:space="preserve">Figure 2. Seeding date and cultivar </w:t>
      </w:r>
      <w:r w:rsidR="00471E5F">
        <w:rPr>
          <w:rFonts w:ascii="Times New Roman" w:hAnsi="Times New Roman" w:cs="Times New Roman"/>
          <w:b/>
          <w:sz w:val="24"/>
          <w:szCs w:val="24"/>
        </w:rPr>
        <w:t xml:space="preserve">maturity group </w:t>
      </w:r>
      <w:r w:rsidRPr="006D11C5">
        <w:rPr>
          <w:rFonts w:ascii="Times New Roman" w:hAnsi="Times New Roman" w:cs="Times New Roman"/>
          <w:b/>
          <w:sz w:val="24"/>
          <w:szCs w:val="24"/>
        </w:rPr>
        <w:t>effect on net return $/a</w:t>
      </w:r>
    </w:p>
    <w:p w:rsidR="00211001" w:rsidRDefault="00211001">
      <w:pPr>
        <w:rPr>
          <w:rFonts w:ascii="Times New Roman" w:hAnsi="Times New Roman" w:cs="Times New Roman"/>
          <w:b/>
          <w:sz w:val="24"/>
          <w:szCs w:val="24"/>
          <w:u w:val="single"/>
        </w:rPr>
      </w:pPr>
      <w:r>
        <w:rPr>
          <w:rFonts w:ascii="Times New Roman" w:hAnsi="Times New Roman" w:cs="Times New Roman"/>
          <w:b/>
          <w:sz w:val="24"/>
          <w:szCs w:val="24"/>
          <w:u w:val="single"/>
        </w:rPr>
        <w:t>Benefits to the North Dakota soybean industry.</w:t>
      </w:r>
    </w:p>
    <w:p w:rsidR="00211001" w:rsidRPr="00211001" w:rsidRDefault="008B07D9" w:rsidP="006C28F2">
      <w:pPr>
        <w:spacing w:line="240" w:lineRule="auto"/>
        <w:rPr>
          <w:rFonts w:ascii="Times New Roman" w:hAnsi="Times New Roman" w:cs="Times New Roman"/>
          <w:sz w:val="24"/>
          <w:szCs w:val="24"/>
        </w:rPr>
      </w:pPr>
      <w:r>
        <w:rPr>
          <w:rFonts w:ascii="Times New Roman" w:hAnsi="Times New Roman" w:cs="Times New Roman"/>
          <w:sz w:val="24"/>
          <w:szCs w:val="24"/>
        </w:rPr>
        <w:t xml:space="preserve">Northeast North Dakota has seen a dramatic increase in soybean acreage in recent years. </w:t>
      </w:r>
      <w:r w:rsidR="005E7F42">
        <w:rPr>
          <w:rFonts w:ascii="Times New Roman" w:hAnsi="Times New Roman" w:cs="Times New Roman"/>
          <w:sz w:val="24"/>
          <w:szCs w:val="24"/>
        </w:rPr>
        <w:t>C</w:t>
      </w:r>
      <w:r w:rsidR="00532AAB">
        <w:rPr>
          <w:rFonts w:ascii="Times New Roman" w:hAnsi="Times New Roman" w:cs="Times New Roman"/>
          <w:sz w:val="24"/>
          <w:szCs w:val="24"/>
        </w:rPr>
        <w:t xml:space="preserve">hoosing the </w:t>
      </w:r>
      <w:r w:rsidR="00034311">
        <w:rPr>
          <w:rFonts w:ascii="Times New Roman" w:hAnsi="Times New Roman" w:cs="Times New Roman"/>
          <w:sz w:val="24"/>
          <w:szCs w:val="24"/>
        </w:rPr>
        <w:t xml:space="preserve">right combination of seeding date and </w:t>
      </w:r>
      <w:r>
        <w:rPr>
          <w:rFonts w:ascii="Times New Roman" w:hAnsi="Times New Roman" w:cs="Times New Roman"/>
          <w:sz w:val="24"/>
          <w:szCs w:val="24"/>
        </w:rPr>
        <w:t>cultivar</w:t>
      </w:r>
      <w:r w:rsidR="005E7F42">
        <w:rPr>
          <w:rFonts w:ascii="Times New Roman" w:hAnsi="Times New Roman" w:cs="Times New Roman"/>
          <w:sz w:val="24"/>
          <w:szCs w:val="24"/>
        </w:rPr>
        <w:t xml:space="preserve"> maturity group i</w:t>
      </w:r>
      <w:r w:rsidR="00034311">
        <w:rPr>
          <w:rFonts w:ascii="Times New Roman" w:hAnsi="Times New Roman" w:cs="Times New Roman"/>
          <w:sz w:val="24"/>
          <w:szCs w:val="24"/>
        </w:rPr>
        <w:t xml:space="preserve">s </w:t>
      </w:r>
      <w:r w:rsidR="006B6F52">
        <w:rPr>
          <w:rFonts w:ascii="Times New Roman" w:hAnsi="Times New Roman" w:cs="Times New Roman"/>
          <w:sz w:val="24"/>
          <w:szCs w:val="24"/>
        </w:rPr>
        <w:t xml:space="preserve">an </w:t>
      </w:r>
      <w:r w:rsidR="00034311">
        <w:rPr>
          <w:rFonts w:ascii="Times New Roman" w:hAnsi="Times New Roman" w:cs="Times New Roman"/>
          <w:sz w:val="24"/>
          <w:szCs w:val="24"/>
        </w:rPr>
        <w:t xml:space="preserve">important </w:t>
      </w:r>
      <w:r w:rsidR="006B6F52">
        <w:rPr>
          <w:rFonts w:ascii="Times New Roman" w:hAnsi="Times New Roman" w:cs="Times New Roman"/>
          <w:sz w:val="24"/>
          <w:szCs w:val="24"/>
        </w:rPr>
        <w:t xml:space="preserve">decision producers make in </w:t>
      </w:r>
      <w:r w:rsidR="00034311">
        <w:rPr>
          <w:rFonts w:ascii="Times New Roman" w:hAnsi="Times New Roman" w:cs="Times New Roman"/>
          <w:sz w:val="24"/>
          <w:szCs w:val="24"/>
        </w:rPr>
        <w:t xml:space="preserve">obtaining optimum soybean production.  </w:t>
      </w:r>
      <w:r>
        <w:rPr>
          <w:rFonts w:ascii="Times New Roman" w:hAnsi="Times New Roman" w:cs="Times New Roman"/>
          <w:sz w:val="24"/>
          <w:szCs w:val="24"/>
        </w:rPr>
        <w:t xml:space="preserve">Prior research on </w:t>
      </w:r>
      <w:r w:rsidR="00E93600">
        <w:rPr>
          <w:rFonts w:ascii="Times New Roman" w:hAnsi="Times New Roman" w:cs="Times New Roman"/>
          <w:sz w:val="24"/>
          <w:szCs w:val="24"/>
        </w:rPr>
        <w:t xml:space="preserve">the relationship between </w:t>
      </w:r>
      <w:r w:rsidR="00E6798E">
        <w:rPr>
          <w:rFonts w:ascii="Times New Roman" w:hAnsi="Times New Roman" w:cs="Times New Roman"/>
          <w:sz w:val="24"/>
          <w:szCs w:val="24"/>
        </w:rPr>
        <w:t xml:space="preserve">seeding </w:t>
      </w:r>
      <w:r w:rsidR="00E93600">
        <w:rPr>
          <w:rFonts w:ascii="Times New Roman" w:hAnsi="Times New Roman" w:cs="Times New Roman"/>
          <w:sz w:val="24"/>
          <w:szCs w:val="24"/>
        </w:rPr>
        <w:t>dates</w:t>
      </w:r>
      <w:r w:rsidR="00E6798E">
        <w:rPr>
          <w:rFonts w:ascii="Times New Roman" w:hAnsi="Times New Roman" w:cs="Times New Roman"/>
          <w:sz w:val="24"/>
          <w:szCs w:val="24"/>
        </w:rPr>
        <w:t xml:space="preserve"> </w:t>
      </w:r>
      <w:r w:rsidR="00E93600">
        <w:rPr>
          <w:rFonts w:ascii="Times New Roman" w:hAnsi="Times New Roman" w:cs="Times New Roman"/>
          <w:sz w:val="24"/>
          <w:szCs w:val="24"/>
        </w:rPr>
        <w:t xml:space="preserve">and </w:t>
      </w:r>
      <w:r w:rsidR="00034311">
        <w:rPr>
          <w:rFonts w:ascii="Times New Roman" w:hAnsi="Times New Roman" w:cs="Times New Roman"/>
          <w:sz w:val="24"/>
          <w:szCs w:val="24"/>
        </w:rPr>
        <w:t xml:space="preserve">cultivar </w:t>
      </w:r>
      <w:r w:rsidR="00471E5F">
        <w:rPr>
          <w:rFonts w:ascii="Times New Roman" w:hAnsi="Times New Roman" w:cs="Times New Roman"/>
          <w:sz w:val="24"/>
          <w:szCs w:val="24"/>
        </w:rPr>
        <w:t xml:space="preserve">maturity </w:t>
      </w:r>
      <w:r>
        <w:rPr>
          <w:rFonts w:ascii="Times New Roman" w:hAnsi="Times New Roman" w:cs="Times New Roman"/>
          <w:sz w:val="24"/>
          <w:szCs w:val="24"/>
        </w:rPr>
        <w:t>ha</w:t>
      </w:r>
      <w:r w:rsidR="00475D4E">
        <w:rPr>
          <w:rFonts w:ascii="Times New Roman" w:hAnsi="Times New Roman" w:cs="Times New Roman"/>
          <w:sz w:val="24"/>
          <w:szCs w:val="24"/>
        </w:rPr>
        <w:t>s</w:t>
      </w:r>
      <w:r>
        <w:rPr>
          <w:rFonts w:ascii="Times New Roman" w:hAnsi="Times New Roman" w:cs="Times New Roman"/>
          <w:sz w:val="24"/>
          <w:szCs w:val="24"/>
        </w:rPr>
        <w:t xml:space="preserve"> </w:t>
      </w:r>
      <w:r w:rsidR="00E93600">
        <w:rPr>
          <w:rFonts w:ascii="Times New Roman" w:hAnsi="Times New Roman" w:cs="Times New Roman"/>
          <w:sz w:val="24"/>
          <w:szCs w:val="24"/>
        </w:rPr>
        <w:t>been located in</w:t>
      </w:r>
      <w:r>
        <w:rPr>
          <w:rFonts w:ascii="Times New Roman" w:hAnsi="Times New Roman" w:cs="Times New Roman"/>
          <w:sz w:val="24"/>
          <w:szCs w:val="24"/>
        </w:rPr>
        <w:t xml:space="preserve"> </w:t>
      </w:r>
      <w:r w:rsidR="00E6798E">
        <w:rPr>
          <w:rFonts w:ascii="Times New Roman" w:hAnsi="Times New Roman" w:cs="Times New Roman"/>
          <w:sz w:val="24"/>
          <w:szCs w:val="24"/>
        </w:rPr>
        <w:t xml:space="preserve">east central and southeast North Dakota. Developing a </w:t>
      </w:r>
      <w:r w:rsidR="00E93600">
        <w:rPr>
          <w:rFonts w:ascii="Times New Roman" w:hAnsi="Times New Roman" w:cs="Times New Roman"/>
          <w:sz w:val="24"/>
          <w:szCs w:val="24"/>
        </w:rPr>
        <w:t>da</w:t>
      </w:r>
      <w:r w:rsidR="00E6798E">
        <w:rPr>
          <w:rFonts w:ascii="Times New Roman" w:hAnsi="Times New Roman" w:cs="Times New Roman"/>
          <w:sz w:val="24"/>
          <w:szCs w:val="24"/>
        </w:rPr>
        <w:t xml:space="preserve">tabase </w:t>
      </w:r>
      <w:r w:rsidR="00E93600">
        <w:rPr>
          <w:rFonts w:ascii="Times New Roman" w:hAnsi="Times New Roman" w:cs="Times New Roman"/>
          <w:sz w:val="24"/>
          <w:szCs w:val="24"/>
        </w:rPr>
        <w:t>for</w:t>
      </w:r>
      <w:r w:rsidR="00E6798E">
        <w:rPr>
          <w:rFonts w:ascii="Times New Roman" w:hAnsi="Times New Roman" w:cs="Times New Roman"/>
          <w:sz w:val="24"/>
          <w:szCs w:val="24"/>
        </w:rPr>
        <w:t xml:space="preserve"> the cooler and shorter growing season</w:t>
      </w:r>
      <w:r w:rsidR="00034311">
        <w:rPr>
          <w:rFonts w:ascii="Times New Roman" w:hAnsi="Times New Roman" w:cs="Times New Roman"/>
          <w:sz w:val="24"/>
          <w:szCs w:val="24"/>
        </w:rPr>
        <w:t>s</w:t>
      </w:r>
      <w:r w:rsidR="00E6798E">
        <w:rPr>
          <w:rFonts w:ascii="Times New Roman" w:hAnsi="Times New Roman" w:cs="Times New Roman"/>
          <w:sz w:val="24"/>
          <w:szCs w:val="24"/>
        </w:rPr>
        <w:t xml:space="preserve"> of </w:t>
      </w:r>
      <w:r w:rsidR="00034311">
        <w:rPr>
          <w:rFonts w:ascii="Times New Roman" w:hAnsi="Times New Roman" w:cs="Times New Roman"/>
          <w:sz w:val="24"/>
          <w:szCs w:val="24"/>
        </w:rPr>
        <w:t xml:space="preserve">northeast </w:t>
      </w:r>
      <w:r w:rsidR="00E6798E">
        <w:rPr>
          <w:rFonts w:ascii="Times New Roman" w:hAnsi="Times New Roman" w:cs="Times New Roman"/>
          <w:sz w:val="24"/>
          <w:szCs w:val="24"/>
        </w:rPr>
        <w:t>North Dakota</w:t>
      </w:r>
      <w:r w:rsidR="00E93600">
        <w:rPr>
          <w:rFonts w:ascii="Times New Roman" w:hAnsi="Times New Roman" w:cs="Times New Roman"/>
          <w:sz w:val="24"/>
          <w:szCs w:val="24"/>
        </w:rPr>
        <w:t xml:space="preserve"> is critical</w:t>
      </w:r>
      <w:r w:rsidR="00DF6126">
        <w:rPr>
          <w:rFonts w:ascii="Times New Roman" w:hAnsi="Times New Roman" w:cs="Times New Roman"/>
          <w:sz w:val="24"/>
          <w:szCs w:val="24"/>
        </w:rPr>
        <w:t xml:space="preserve">.  </w:t>
      </w:r>
      <w:r w:rsidR="00E6798E">
        <w:rPr>
          <w:rFonts w:ascii="Times New Roman" w:hAnsi="Times New Roman" w:cs="Times New Roman"/>
          <w:sz w:val="24"/>
          <w:szCs w:val="24"/>
        </w:rPr>
        <w:t>F</w:t>
      </w:r>
      <w:r w:rsidR="00DF6126">
        <w:rPr>
          <w:rFonts w:ascii="Times New Roman" w:hAnsi="Times New Roman" w:cs="Times New Roman"/>
          <w:sz w:val="24"/>
          <w:szCs w:val="24"/>
        </w:rPr>
        <w:t>irst year results suggest that</w:t>
      </w:r>
      <w:r w:rsidR="00E93600">
        <w:rPr>
          <w:rFonts w:ascii="Times New Roman" w:hAnsi="Times New Roman" w:cs="Times New Roman"/>
          <w:sz w:val="24"/>
          <w:szCs w:val="24"/>
        </w:rPr>
        <w:t xml:space="preserve"> when seeding between a mid-May to</w:t>
      </w:r>
      <w:r w:rsidR="00E6798E">
        <w:rPr>
          <w:rFonts w:ascii="Times New Roman" w:hAnsi="Times New Roman" w:cs="Times New Roman"/>
          <w:sz w:val="24"/>
          <w:szCs w:val="24"/>
        </w:rPr>
        <w:t xml:space="preserve"> June </w:t>
      </w:r>
      <w:r w:rsidR="00E93600">
        <w:rPr>
          <w:rFonts w:ascii="Times New Roman" w:hAnsi="Times New Roman" w:cs="Times New Roman"/>
          <w:sz w:val="24"/>
          <w:szCs w:val="24"/>
        </w:rPr>
        <w:t xml:space="preserve">4 </w:t>
      </w:r>
      <w:r w:rsidR="00DF6126">
        <w:rPr>
          <w:rFonts w:ascii="Times New Roman" w:hAnsi="Times New Roman" w:cs="Times New Roman"/>
          <w:sz w:val="24"/>
          <w:szCs w:val="24"/>
        </w:rPr>
        <w:t xml:space="preserve">seeding </w:t>
      </w:r>
      <w:r w:rsidR="00E6798E">
        <w:rPr>
          <w:rFonts w:ascii="Times New Roman" w:hAnsi="Times New Roman" w:cs="Times New Roman"/>
          <w:sz w:val="24"/>
          <w:szCs w:val="24"/>
        </w:rPr>
        <w:t>date</w:t>
      </w:r>
      <w:r w:rsidR="00DF6126">
        <w:rPr>
          <w:rFonts w:ascii="Times New Roman" w:hAnsi="Times New Roman" w:cs="Times New Roman"/>
          <w:sz w:val="24"/>
          <w:szCs w:val="24"/>
        </w:rPr>
        <w:t>, a 00.9 or 0.1 cultivar</w:t>
      </w:r>
      <w:r w:rsidR="00E93600">
        <w:rPr>
          <w:rFonts w:ascii="Times New Roman" w:hAnsi="Times New Roman" w:cs="Times New Roman"/>
          <w:sz w:val="24"/>
          <w:szCs w:val="24"/>
        </w:rPr>
        <w:t xml:space="preserve"> MG</w:t>
      </w:r>
      <w:r w:rsidR="00DF6126">
        <w:rPr>
          <w:rFonts w:ascii="Times New Roman" w:hAnsi="Times New Roman" w:cs="Times New Roman"/>
          <w:sz w:val="24"/>
          <w:szCs w:val="24"/>
        </w:rPr>
        <w:t xml:space="preserve"> result</w:t>
      </w:r>
      <w:r w:rsidR="00E93600">
        <w:rPr>
          <w:rFonts w:ascii="Times New Roman" w:hAnsi="Times New Roman" w:cs="Times New Roman"/>
          <w:sz w:val="24"/>
          <w:szCs w:val="24"/>
        </w:rPr>
        <w:t>ed</w:t>
      </w:r>
      <w:r w:rsidR="00DF6126">
        <w:rPr>
          <w:rFonts w:ascii="Times New Roman" w:hAnsi="Times New Roman" w:cs="Times New Roman"/>
          <w:sz w:val="24"/>
          <w:szCs w:val="24"/>
        </w:rPr>
        <w:t xml:space="preserve"> in higher yields and greater </w:t>
      </w:r>
      <w:r w:rsidR="00E46B93">
        <w:rPr>
          <w:rFonts w:ascii="Times New Roman" w:hAnsi="Times New Roman" w:cs="Times New Roman"/>
          <w:sz w:val="24"/>
          <w:szCs w:val="24"/>
        </w:rPr>
        <w:t>net</w:t>
      </w:r>
      <w:r w:rsidR="00E6798E">
        <w:rPr>
          <w:rFonts w:ascii="Times New Roman" w:hAnsi="Times New Roman" w:cs="Times New Roman"/>
          <w:sz w:val="24"/>
          <w:szCs w:val="24"/>
        </w:rPr>
        <w:t xml:space="preserve"> </w:t>
      </w:r>
      <w:r w:rsidR="00DF6126">
        <w:rPr>
          <w:rFonts w:ascii="Times New Roman" w:hAnsi="Times New Roman" w:cs="Times New Roman"/>
          <w:sz w:val="24"/>
          <w:szCs w:val="24"/>
        </w:rPr>
        <w:t xml:space="preserve">return </w:t>
      </w:r>
      <w:r w:rsidR="00F51869">
        <w:rPr>
          <w:rFonts w:ascii="Times New Roman" w:hAnsi="Times New Roman" w:cs="Times New Roman"/>
          <w:sz w:val="24"/>
          <w:szCs w:val="24"/>
        </w:rPr>
        <w:t>$/a</w:t>
      </w:r>
      <w:r w:rsidR="006C28F2">
        <w:rPr>
          <w:rFonts w:ascii="Times New Roman" w:hAnsi="Times New Roman" w:cs="Times New Roman"/>
          <w:sz w:val="24"/>
          <w:szCs w:val="24"/>
        </w:rPr>
        <w:t xml:space="preserve">, but at the </w:t>
      </w:r>
      <w:r w:rsidR="00475D4E">
        <w:rPr>
          <w:rFonts w:ascii="Times New Roman" w:hAnsi="Times New Roman" w:cs="Times New Roman"/>
          <w:sz w:val="24"/>
          <w:szCs w:val="24"/>
        </w:rPr>
        <w:t xml:space="preserve">June </w:t>
      </w:r>
      <w:r w:rsidR="006C28F2">
        <w:rPr>
          <w:rFonts w:ascii="Times New Roman" w:hAnsi="Times New Roman" w:cs="Times New Roman"/>
          <w:sz w:val="24"/>
          <w:szCs w:val="24"/>
        </w:rPr>
        <w:t xml:space="preserve">14 </w:t>
      </w:r>
      <w:r w:rsidR="00076A33">
        <w:rPr>
          <w:rFonts w:ascii="Times New Roman" w:hAnsi="Times New Roman" w:cs="Times New Roman"/>
          <w:sz w:val="24"/>
          <w:szCs w:val="24"/>
        </w:rPr>
        <w:t xml:space="preserve">seeding </w:t>
      </w:r>
      <w:r w:rsidR="00475D4E">
        <w:rPr>
          <w:rFonts w:ascii="Times New Roman" w:hAnsi="Times New Roman" w:cs="Times New Roman"/>
          <w:sz w:val="24"/>
          <w:szCs w:val="24"/>
        </w:rPr>
        <w:t xml:space="preserve">date </w:t>
      </w:r>
      <w:r w:rsidR="00076A33">
        <w:rPr>
          <w:rFonts w:ascii="Times New Roman" w:hAnsi="Times New Roman" w:cs="Times New Roman"/>
          <w:sz w:val="24"/>
          <w:szCs w:val="24"/>
        </w:rPr>
        <w:t xml:space="preserve">an early MG 00.5 </w:t>
      </w:r>
      <w:r w:rsidR="00034311">
        <w:rPr>
          <w:rFonts w:ascii="Times New Roman" w:hAnsi="Times New Roman" w:cs="Times New Roman"/>
          <w:sz w:val="24"/>
          <w:szCs w:val="24"/>
        </w:rPr>
        <w:t xml:space="preserve">cultivar </w:t>
      </w:r>
      <w:r w:rsidR="00076A33">
        <w:rPr>
          <w:rFonts w:ascii="Times New Roman" w:hAnsi="Times New Roman" w:cs="Times New Roman"/>
          <w:sz w:val="24"/>
          <w:szCs w:val="24"/>
        </w:rPr>
        <w:t>result</w:t>
      </w:r>
      <w:r w:rsidR="00E6798E">
        <w:rPr>
          <w:rFonts w:ascii="Times New Roman" w:hAnsi="Times New Roman" w:cs="Times New Roman"/>
          <w:sz w:val="24"/>
          <w:szCs w:val="24"/>
        </w:rPr>
        <w:t>ed</w:t>
      </w:r>
      <w:r w:rsidR="00076A33">
        <w:rPr>
          <w:rFonts w:ascii="Times New Roman" w:hAnsi="Times New Roman" w:cs="Times New Roman"/>
          <w:sz w:val="24"/>
          <w:szCs w:val="24"/>
        </w:rPr>
        <w:t xml:space="preserve"> in a higher yield and net return</w:t>
      </w:r>
      <w:r w:rsidR="00F51869">
        <w:rPr>
          <w:rFonts w:ascii="Times New Roman" w:hAnsi="Times New Roman" w:cs="Times New Roman"/>
          <w:sz w:val="24"/>
          <w:szCs w:val="24"/>
        </w:rPr>
        <w:t xml:space="preserve"> $/a</w:t>
      </w:r>
      <w:r w:rsidR="00076A33">
        <w:rPr>
          <w:rFonts w:ascii="Times New Roman" w:hAnsi="Times New Roman" w:cs="Times New Roman"/>
          <w:sz w:val="24"/>
          <w:szCs w:val="24"/>
        </w:rPr>
        <w:t xml:space="preserve">.  </w:t>
      </w:r>
      <w:r w:rsidR="006C28F2">
        <w:rPr>
          <w:rFonts w:ascii="Times New Roman" w:hAnsi="Times New Roman" w:cs="Times New Roman"/>
          <w:sz w:val="24"/>
          <w:szCs w:val="24"/>
        </w:rPr>
        <w:t xml:space="preserve">The further seeding date is delayed into June, the greater chance of a successful crop with the earliest MG.  The success of the seeding the last ten days of June would be problematic with even the earliest MG and would be dependent on weather conditions and timing of the first fall freeze in any given year. </w:t>
      </w:r>
      <w:r w:rsidR="00076A33">
        <w:rPr>
          <w:rFonts w:ascii="Times New Roman" w:hAnsi="Times New Roman" w:cs="Times New Roman"/>
          <w:sz w:val="24"/>
          <w:szCs w:val="24"/>
        </w:rPr>
        <w:t xml:space="preserve">This information will be valuable to </w:t>
      </w:r>
      <w:r w:rsidR="00E46B93">
        <w:rPr>
          <w:rFonts w:ascii="Times New Roman" w:hAnsi="Times New Roman" w:cs="Times New Roman"/>
          <w:sz w:val="24"/>
          <w:szCs w:val="24"/>
        </w:rPr>
        <w:t>producers,</w:t>
      </w:r>
      <w:r w:rsidR="00076A33">
        <w:rPr>
          <w:rFonts w:ascii="Times New Roman" w:hAnsi="Times New Roman" w:cs="Times New Roman"/>
          <w:sz w:val="24"/>
          <w:szCs w:val="24"/>
        </w:rPr>
        <w:t xml:space="preserve"> insurance agents</w:t>
      </w:r>
      <w:r w:rsidR="00E46B93">
        <w:rPr>
          <w:rFonts w:ascii="Times New Roman" w:hAnsi="Times New Roman" w:cs="Times New Roman"/>
          <w:sz w:val="24"/>
          <w:szCs w:val="24"/>
        </w:rPr>
        <w:t xml:space="preserve"> and the RMA</w:t>
      </w:r>
      <w:r w:rsidR="00076A33">
        <w:rPr>
          <w:rFonts w:ascii="Times New Roman" w:hAnsi="Times New Roman" w:cs="Times New Roman"/>
          <w:sz w:val="24"/>
          <w:szCs w:val="24"/>
        </w:rPr>
        <w:t xml:space="preserve"> for spring seeding date and replanting decisions</w:t>
      </w:r>
      <w:r w:rsidR="00E46B93">
        <w:rPr>
          <w:rFonts w:ascii="Times New Roman" w:hAnsi="Times New Roman" w:cs="Times New Roman"/>
          <w:sz w:val="24"/>
          <w:szCs w:val="24"/>
        </w:rPr>
        <w:t xml:space="preserve"> and</w:t>
      </w:r>
      <w:r w:rsidR="00E6798E" w:rsidRPr="00E6798E">
        <w:rPr>
          <w:rFonts w:ascii="Times New Roman" w:hAnsi="Times New Roman" w:cs="Times New Roman"/>
          <w:sz w:val="24"/>
          <w:szCs w:val="24"/>
        </w:rPr>
        <w:t xml:space="preserve"> </w:t>
      </w:r>
      <w:r w:rsidR="00E6798E">
        <w:rPr>
          <w:rFonts w:ascii="Times New Roman" w:hAnsi="Times New Roman" w:cs="Times New Roman"/>
          <w:sz w:val="24"/>
          <w:szCs w:val="24"/>
        </w:rPr>
        <w:t>will increase soybean performance and grow profits that will stimulate the local</w:t>
      </w:r>
      <w:r w:rsidR="00E6798E" w:rsidRPr="00E6798E">
        <w:rPr>
          <w:rFonts w:ascii="Times New Roman" w:hAnsi="Times New Roman" w:cs="Times New Roman"/>
          <w:sz w:val="24"/>
          <w:szCs w:val="24"/>
        </w:rPr>
        <w:t xml:space="preserve"> </w:t>
      </w:r>
      <w:r w:rsidR="00E6798E">
        <w:rPr>
          <w:rFonts w:ascii="Times New Roman" w:hAnsi="Times New Roman" w:cs="Times New Roman"/>
          <w:sz w:val="24"/>
          <w:szCs w:val="24"/>
        </w:rPr>
        <w:t>economy and enhance community sustainability</w:t>
      </w:r>
      <w:r w:rsidR="00E46B93">
        <w:rPr>
          <w:rFonts w:ascii="Times New Roman" w:hAnsi="Times New Roman" w:cs="Times New Roman"/>
          <w:sz w:val="24"/>
          <w:szCs w:val="24"/>
        </w:rPr>
        <w:t>.</w:t>
      </w: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p w:rsidR="005E4B16" w:rsidRDefault="005E4B16">
      <w:pPr>
        <w:rPr>
          <w:rFonts w:ascii="Times New Roman" w:hAnsi="Times New Roman" w:cs="Times New Roman"/>
          <w:b/>
          <w:sz w:val="24"/>
          <w:szCs w:val="24"/>
        </w:rPr>
      </w:pPr>
    </w:p>
    <w:sectPr w:rsidR="005E4B16" w:rsidSect="00D62294">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00"/>
    <w:rsid w:val="00034311"/>
    <w:rsid w:val="00076A33"/>
    <w:rsid w:val="000A5139"/>
    <w:rsid w:val="000C34AB"/>
    <w:rsid w:val="000D6A45"/>
    <w:rsid w:val="000E3ADB"/>
    <w:rsid w:val="000E7275"/>
    <w:rsid w:val="0016015D"/>
    <w:rsid w:val="00172CA7"/>
    <w:rsid w:val="001B1500"/>
    <w:rsid w:val="001D57B9"/>
    <w:rsid w:val="00211001"/>
    <w:rsid w:val="00212469"/>
    <w:rsid w:val="002301F1"/>
    <w:rsid w:val="00234335"/>
    <w:rsid w:val="002D4CD4"/>
    <w:rsid w:val="002E789C"/>
    <w:rsid w:val="00325A41"/>
    <w:rsid w:val="003F48B8"/>
    <w:rsid w:val="00437054"/>
    <w:rsid w:val="00456242"/>
    <w:rsid w:val="00471E5F"/>
    <w:rsid w:val="00475D4E"/>
    <w:rsid w:val="004C0394"/>
    <w:rsid w:val="0050324A"/>
    <w:rsid w:val="00532AAB"/>
    <w:rsid w:val="005929D1"/>
    <w:rsid w:val="005A3DF0"/>
    <w:rsid w:val="005A5556"/>
    <w:rsid w:val="005C2A58"/>
    <w:rsid w:val="005E4B16"/>
    <w:rsid w:val="005E4E5A"/>
    <w:rsid w:val="005E7F42"/>
    <w:rsid w:val="00601F68"/>
    <w:rsid w:val="00621C64"/>
    <w:rsid w:val="00635F42"/>
    <w:rsid w:val="00644033"/>
    <w:rsid w:val="00681D0A"/>
    <w:rsid w:val="006B6EAD"/>
    <w:rsid w:val="006B6F52"/>
    <w:rsid w:val="006C137A"/>
    <w:rsid w:val="006C28F2"/>
    <w:rsid w:val="006D11C5"/>
    <w:rsid w:val="006D74F0"/>
    <w:rsid w:val="00715D01"/>
    <w:rsid w:val="007357AD"/>
    <w:rsid w:val="007B05F2"/>
    <w:rsid w:val="007D409B"/>
    <w:rsid w:val="007D4E83"/>
    <w:rsid w:val="00852945"/>
    <w:rsid w:val="00886DB9"/>
    <w:rsid w:val="008B07D9"/>
    <w:rsid w:val="008F2052"/>
    <w:rsid w:val="009B7103"/>
    <w:rsid w:val="009D2D88"/>
    <w:rsid w:val="009D703E"/>
    <w:rsid w:val="009E1F11"/>
    <w:rsid w:val="009E613B"/>
    <w:rsid w:val="00A146C5"/>
    <w:rsid w:val="00A2333E"/>
    <w:rsid w:val="00A51849"/>
    <w:rsid w:val="00A6250B"/>
    <w:rsid w:val="00AF1A8B"/>
    <w:rsid w:val="00B21F16"/>
    <w:rsid w:val="00B67CE7"/>
    <w:rsid w:val="00BA102D"/>
    <w:rsid w:val="00BA347A"/>
    <w:rsid w:val="00BB2319"/>
    <w:rsid w:val="00BB4003"/>
    <w:rsid w:val="00BB6E71"/>
    <w:rsid w:val="00BC794D"/>
    <w:rsid w:val="00BD1623"/>
    <w:rsid w:val="00C22E55"/>
    <w:rsid w:val="00C414B3"/>
    <w:rsid w:val="00C42D3E"/>
    <w:rsid w:val="00C454BC"/>
    <w:rsid w:val="00C5470B"/>
    <w:rsid w:val="00C54B46"/>
    <w:rsid w:val="00CE0819"/>
    <w:rsid w:val="00D01F39"/>
    <w:rsid w:val="00D03047"/>
    <w:rsid w:val="00D3090B"/>
    <w:rsid w:val="00D62294"/>
    <w:rsid w:val="00D83979"/>
    <w:rsid w:val="00D918D1"/>
    <w:rsid w:val="00D9484C"/>
    <w:rsid w:val="00DF6126"/>
    <w:rsid w:val="00E20EC6"/>
    <w:rsid w:val="00E44EE3"/>
    <w:rsid w:val="00E46B93"/>
    <w:rsid w:val="00E6798E"/>
    <w:rsid w:val="00E93600"/>
    <w:rsid w:val="00EA558A"/>
    <w:rsid w:val="00EE4C72"/>
    <w:rsid w:val="00F100D8"/>
    <w:rsid w:val="00F51869"/>
    <w:rsid w:val="00F619F3"/>
    <w:rsid w:val="00FA5AD5"/>
    <w:rsid w:val="00FE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9ACB7-FC15-4548-9A4A-32DA54DD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00.5</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May 15</c:v>
                </c:pt>
                <c:pt idx="1">
                  <c:v>May 24</c:v>
                </c:pt>
                <c:pt idx="2">
                  <c:v>June 4</c:v>
                </c:pt>
                <c:pt idx="3">
                  <c:v>June 14</c:v>
                </c:pt>
              </c:strCache>
            </c:strRef>
          </c:cat>
          <c:val>
            <c:numRef>
              <c:f>Sheet1!$B$2:$B$5</c:f>
              <c:numCache>
                <c:formatCode>0.0</c:formatCode>
                <c:ptCount val="4"/>
                <c:pt idx="0">
                  <c:v>54.3</c:v>
                </c:pt>
                <c:pt idx="1">
                  <c:v>48.1</c:v>
                </c:pt>
                <c:pt idx="2">
                  <c:v>45.1</c:v>
                </c:pt>
                <c:pt idx="3">
                  <c:v>40.700000000000003</c:v>
                </c:pt>
              </c:numCache>
            </c:numRef>
          </c:val>
          <c:extLst>
            <c:ext xmlns:c16="http://schemas.microsoft.com/office/drawing/2014/chart" uri="{C3380CC4-5D6E-409C-BE32-E72D297353CC}">
              <c16:uniqueId val="{00000000-27C6-4716-9F83-8CA2B95C3094}"/>
            </c:ext>
          </c:extLst>
        </c:ser>
        <c:ser>
          <c:idx val="1"/>
          <c:order val="1"/>
          <c:tx>
            <c:strRef>
              <c:f>Sheet1!$C$1</c:f>
              <c:strCache>
                <c:ptCount val="1"/>
                <c:pt idx="0">
                  <c:v>00.9</c:v>
                </c:pt>
              </c:strCache>
            </c:strRef>
          </c:tx>
          <c:spPr>
            <a:solidFill>
              <a:schemeClr val="accent2">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May 15</c:v>
                </c:pt>
                <c:pt idx="1">
                  <c:v>May 24</c:v>
                </c:pt>
                <c:pt idx="2">
                  <c:v>June 4</c:v>
                </c:pt>
                <c:pt idx="3">
                  <c:v>June 14</c:v>
                </c:pt>
              </c:strCache>
            </c:strRef>
          </c:cat>
          <c:val>
            <c:numRef>
              <c:f>Sheet1!$C$2:$C$5</c:f>
              <c:numCache>
                <c:formatCode>0.0</c:formatCode>
                <c:ptCount val="4"/>
                <c:pt idx="0">
                  <c:v>59.7</c:v>
                </c:pt>
                <c:pt idx="1">
                  <c:v>52.6</c:v>
                </c:pt>
                <c:pt idx="2">
                  <c:v>50.4</c:v>
                </c:pt>
                <c:pt idx="3">
                  <c:v>38.299999999999997</c:v>
                </c:pt>
              </c:numCache>
            </c:numRef>
          </c:val>
          <c:extLst>
            <c:ext xmlns:c16="http://schemas.microsoft.com/office/drawing/2014/chart" uri="{C3380CC4-5D6E-409C-BE32-E72D297353CC}">
              <c16:uniqueId val="{00000001-27C6-4716-9F83-8CA2B95C3094}"/>
            </c:ext>
          </c:extLst>
        </c:ser>
        <c:ser>
          <c:idx val="2"/>
          <c:order val="2"/>
          <c:tx>
            <c:strRef>
              <c:f>Sheet1!$D$1</c:f>
              <c:strCache>
                <c:ptCount val="1"/>
                <c:pt idx="0">
                  <c:v>0.1</c:v>
                </c:pt>
              </c:strCache>
            </c:strRef>
          </c:tx>
          <c:spPr>
            <a:solidFill>
              <a:schemeClr val="accent4">
                <a:lumMod val="40000"/>
                <a:lumOff val="6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May 15</c:v>
                </c:pt>
                <c:pt idx="1">
                  <c:v>May 24</c:v>
                </c:pt>
                <c:pt idx="2">
                  <c:v>June 4</c:v>
                </c:pt>
                <c:pt idx="3">
                  <c:v>June 14</c:v>
                </c:pt>
              </c:strCache>
            </c:strRef>
          </c:cat>
          <c:val>
            <c:numRef>
              <c:f>Sheet1!$D$2:$D$5</c:f>
              <c:numCache>
                <c:formatCode>0.0</c:formatCode>
                <c:ptCount val="4"/>
                <c:pt idx="0">
                  <c:v>60</c:v>
                </c:pt>
                <c:pt idx="1">
                  <c:v>51.9</c:v>
                </c:pt>
                <c:pt idx="2">
                  <c:v>47</c:v>
                </c:pt>
                <c:pt idx="3">
                  <c:v>36.299999999999997</c:v>
                </c:pt>
              </c:numCache>
            </c:numRef>
          </c:val>
          <c:extLst>
            <c:ext xmlns:c16="http://schemas.microsoft.com/office/drawing/2014/chart" uri="{C3380CC4-5D6E-409C-BE32-E72D297353CC}">
              <c16:uniqueId val="{00000002-27C6-4716-9F83-8CA2B95C3094}"/>
            </c:ext>
          </c:extLst>
        </c:ser>
        <c:dLbls>
          <c:showLegendKey val="0"/>
          <c:showVal val="0"/>
          <c:showCatName val="0"/>
          <c:showSerName val="0"/>
          <c:showPercent val="0"/>
          <c:showBubbleSize val="0"/>
        </c:dLbls>
        <c:gapWidth val="219"/>
        <c:overlap val="-27"/>
        <c:axId val="316945016"/>
        <c:axId val="321196112"/>
      </c:barChart>
      <c:catAx>
        <c:axId val="316945016"/>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dirty="0"/>
                  <a:t>Cultivar Maturity Group</a:t>
                </a:r>
              </a:p>
            </c:rich>
          </c:tx>
          <c:layout>
            <c:manualLayout>
              <c:xMode val="edge"/>
              <c:yMode val="edge"/>
              <c:x val="0.1901142226288817"/>
              <c:y val="0.8144337416879962"/>
            </c:manualLayout>
          </c:layout>
          <c:overlay val="0"/>
          <c:spPr>
            <a:noFill/>
            <a:ln>
              <a:noFill/>
            </a:ln>
            <a:effectLst/>
          </c:spPr>
          <c:txPr>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21196112"/>
        <c:crosses val="autoZero"/>
        <c:auto val="1"/>
        <c:lblAlgn val="ctr"/>
        <c:lblOffset val="100"/>
        <c:noMultiLvlLbl val="0"/>
      </c:catAx>
      <c:valAx>
        <c:axId val="321196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dirty="0"/>
                  <a:t>Yield </a:t>
                </a:r>
                <a:r>
                  <a:rPr lang="en-US" dirty="0" err="1"/>
                  <a:t>bu</a:t>
                </a:r>
                <a:r>
                  <a:rPr lang="en-US" dirty="0"/>
                  <a:t>/a</a:t>
                </a:r>
              </a:p>
            </c:rich>
          </c:tx>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in"/>
        <c:tickLblPos val="nextTo"/>
        <c:spPr>
          <a:noFill/>
          <a:ln>
            <a:solidFill>
              <a:schemeClr val="tx1"/>
            </a:solid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16945016"/>
        <c:crosses val="autoZero"/>
        <c:crossBetween val="between"/>
      </c:valAx>
      <c:spPr>
        <a:noFill/>
        <a:ln>
          <a:solidFill>
            <a:schemeClr val="tx1"/>
          </a:solidFill>
        </a:ln>
        <a:effectLst/>
      </c:spPr>
    </c:plotArea>
    <c:legend>
      <c:legendPos val="b"/>
      <c:layout>
        <c:manualLayout>
          <c:xMode val="edge"/>
          <c:yMode val="edge"/>
          <c:x val="0.47839897093046924"/>
          <c:y val="0.815268382764469"/>
          <c:w val="0.26072837540094068"/>
          <c:h val="5.9312943719663655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152371188271"/>
          <c:y val="7.2195695538057755E-2"/>
          <c:w val="0.84470509150137629"/>
          <c:h val="0.6561394225721785"/>
        </c:manualLayout>
      </c:layout>
      <c:barChart>
        <c:barDir val="col"/>
        <c:grouping val="clustered"/>
        <c:varyColors val="0"/>
        <c:ser>
          <c:idx val="0"/>
          <c:order val="0"/>
          <c:tx>
            <c:strRef>
              <c:f>Sheet1!$B$1</c:f>
              <c:strCache>
                <c:ptCount val="1"/>
                <c:pt idx="0">
                  <c:v>00.5</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May 15</c:v>
                </c:pt>
                <c:pt idx="1">
                  <c:v>May 24</c:v>
                </c:pt>
                <c:pt idx="2">
                  <c:v>June 4</c:v>
                </c:pt>
                <c:pt idx="3">
                  <c:v>June 14</c:v>
                </c:pt>
              </c:strCache>
            </c:strRef>
          </c:cat>
          <c:val>
            <c:numRef>
              <c:f>Sheet1!$B$2:$B$5</c:f>
              <c:numCache>
                <c:formatCode>0</c:formatCode>
                <c:ptCount val="4"/>
                <c:pt idx="0">
                  <c:v>407</c:v>
                </c:pt>
                <c:pt idx="1">
                  <c:v>360</c:v>
                </c:pt>
                <c:pt idx="2">
                  <c:v>338</c:v>
                </c:pt>
                <c:pt idx="3">
                  <c:v>305</c:v>
                </c:pt>
              </c:numCache>
            </c:numRef>
          </c:val>
          <c:extLst>
            <c:ext xmlns:c16="http://schemas.microsoft.com/office/drawing/2014/chart" uri="{C3380CC4-5D6E-409C-BE32-E72D297353CC}">
              <c16:uniqueId val="{00000000-0D7F-4CA1-B047-80AA64C13FFC}"/>
            </c:ext>
          </c:extLst>
        </c:ser>
        <c:ser>
          <c:idx val="1"/>
          <c:order val="1"/>
          <c:tx>
            <c:strRef>
              <c:f>Sheet1!$C$1</c:f>
              <c:strCache>
                <c:ptCount val="1"/>
                <c:pt idx="0">
                  <c:v>00.9</c:v>
                </c:pt>
              </c:strCache>
            </c:strRef>
          </c:tx>
          <c:spPr>
            <a:solidFill>
              <a:schemeClr val="accent2">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May 15</c:v>
                </c:pt>
                <c:pt idx="1">
                  <c:v>May 24</c:v>
                </c:pt>
                <c:pt idx="2">
                  <c:v>June 4</c:v>
                </c:pt>
                <c:pt idx="3">
                  <c:v>June 14</c:v>
                </c:pt>
              </c:strCache>
            </c:strRef>
          </c:cat>
          <c:val>
            <c:numRef>
              <c:f>Sheet1!$C$2:$C$5</c:f>
              <c:numCache>
                <c:formatCode>0</c:formatCode>
                <c:ptCount val="4"/>
                <c:pt idx="0">
                  <c:v>447</c:v>
                </c:pt>
                <c:pt idx="1">
                  <c:v>394</c:v>
                </c:pt>
                <c:pt idx="2">
                  <c:v>378</c:v>
                </c:pt>
                <c:pt idx="3">
                  <c:v>287</c:v>
                </c:pt>
              </c:numCache>
            </c:numRef>
          </c:val>
          <c:extLst>
            <c:ext xmlns:c16="http://schemas.microsoft.com/office/drawing/2014/chart" uri="{C3380CC4-5D6E-409C-BE32-E72D297353CC}">
              <c16:uniqueId val="{00000001-0D7F-4CA1-B047-80AA64C13FFC}"/>
            </c:ext>
          </c:extLst>
        </c:ser>
        <c:ser>
          <c:idx val="2"/>
          <c:order val="2"/>
          <c:tx>
            <c:strRef>
              <c:f>Sheet1!$D$1</c:f>
              <c:strCache>
                <c:ptCount val="1"/>
                <c:pt idx="0">
                  <c:v>0.1</c:v>
                </c:pt>
              </c:strCache>
            </c:strRef>
          </c:tx>
          <c:spPr>
            <a:solidFill>
              <a:schemeClr val="accent4">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May 15</c:v>
                </c:pt>
                <c:pt idx="1">
                  <c:v>May 24</c:v>
                </c:pt>
                <c:pt idx="2">
                  <c:v>June 4</c:v>
                </c:pt>
                <c:pt idx="3">
                  <c:v>June 14</c:v>
                </c:pt>
              </c:strCache>
            </c:strRef>
          </c:cat>
          <c:val>
            <c:numRef>
              <c:f>Sheet1!$D$2:$D$5</c:f>
              <c:numCache>
                <c:formatCode>0</c:formatCode>
                <c:ptCount val="4"/>
                <c:pt idx="0">
                  <c:v>450</c:v>
                </c:pt>
                <c:pt idx="1">
                  <c:v>389</c:v>
                </c:pt>
                <c:pt idx="2">
                  <c:v>352</c:v>
                </c:pt>
                <c:pt idx="3">
                  <c:v>272</c:v>
                </c:pt>
              </c:numCache>
            </c:numRef>
          </c:val>
          <c:extLst>
            <c:ext xmlns:c16="http://schemas.microsoft.com/office/drawing/2014/chart" uri="{C3380CC4-5D6E-409C-BE32-E72D297353CC}">
              <c16:uniqueId val="{00000002-0D7F-4CA1-B047-80AA64C13FFC}"/>
            </c:ext>
          </c:extLst>
        </c:ser>
        <c:dLbls>
          <c:showLegendKey val="0"/>
          <c:showVal val="0"/>
          <c:showCatName val="0"/>
          <c:showSerName val="0"/>
          <c:showPercent val="0"/>
          <c:showBubbleSize val="0"/>
        </c:dLbls>
        <c:gapWidth val="219"/>
        <c:overlap val="-27"/>
        <c:axId val="316945016"/>
        <c:axId val="321196112"/>
      </c:barChart>
      <c:catAx>
        <c:axId val="316945016"/>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dirty="0"/>
                  <a:t>Cultivar Maturity Group</a:t>
                </a:r>
              </a:p>
            </c:rich>
          </c:tx>
          <c:layout>
            <c:manualLayout>
              <c:xMode val="edge"/>
              <c:yMode val="edge"/>
              <c:x val="0.19258665717504464"/>
              <c:y val="0.80778369038034836"/>
            </c:manualLayout>
          </c:layout>
          <c:overlay val="0"/>
          <c:spPr>
            <a:noFill/>
            <a:ln>
              <a:noFill/>
            </a:ln>
            <a:effectLst/>
          </c:spPr>
          <c:txPr>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21196112"/>
        <c:crosses val="autoZero"/>
        <c:auto val="1"/>
        <c:lblAlgn val="ctr"/>
        <c:lblOffset val="100"/>
        <c:noMultiLvlLbl val="0"/>
      </c:catAx>
      <c:valAx>
        <c:axId val="321196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dirty="0"/>
                  <a:t>Net</a:t>
                </a:r>
                <a:r>
                  <a:rPr lang="en-US" baseline="0" dirty="0"/>
                  <a:t> Return $/a</a:t>
                </a:r>
                <a:endParaRPr lang="en-US" dirty="0"/>
              </a:p>
            </c:rich>
          </c:tx>
          <c:layout>
            <c:manualLayout>
              <c:xMode val="edge"/>
              <c:yMode val="edge"/>
              <c:x val="1.9402037027166585E-2"/>
              <c:y val="0.30303512979281588"/>
            </c:manualLayout>
          </c:layout>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in"/>
        <c:tickLblPos val="nextTo"/>
        <c:spPr>
          <a:noFill/>
          <a:ln>
            <a:solidFill>
              <a:schemeClr val="tx1"/>
            </a:solid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16945016"/>
        <c:crosses val="autoZero"/>
        <c:crossBetween val="between"/>
      </c:valAx>
      <c:spPr>
        <a:noFill/>
        <a:ln>
          <a:solidFill>
            <a:schemeClr val="tx1"/>
          </a:solidFill>
        </a:ln>
        <a:effectLst/>
      </c:spPr>
    </c:plotArea>
    <c:legend>
      <c:legendPos val="b"/>
      <c:layout>
        <c:manualLayout>
          <c:xMode val="edge"/>
          <c:yMode val="edge"/>
          <c:x val="0.47839897093046924"/>
          <c:y val="0.815268382764469"/>
          <c:w val="0.26072837540094068"/>
          <c:h val="5.9312943719663655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0.11623</cdr:x>
      <cdr:y>0.87252</cdr:y>
    </cdr:from>
    <cdr:to>
      <cdr:x>0.72408</cdr:x>
      <cdr:y>0.98107</cdr:y>
    </cdr:to>
    <cdr:sp macro="" textlink="">
      <cdr:nvSpPr>
        <cdr:cNvPr id="2" name="TextBox 1"/>
        <cdr:cNvSpPr txBox="1"/>
      </cdr:nvSpPr>
      <cdr:spPr>
        <a:xfrm xmlns:a="http://schemas.openxmlformats.org/drawingml/2006/main">
          <a:off x="684404" y="3490502"/>
          <a:ext cx="3579236" cy="4342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dirty="0"/>
            <a:t>LSD 5%.  Compare cultivars at same seeding date - 4.0 </a:t>
          </a:r>
          <a:r>
            <a:rPr lang="en-US" sz="1000" dirty="0" err="1"/>
            <a:t>bu</a:t>
          </a:r>
          <a:r>
            <a:rPr lang="en-US" sz="1000" dirty="0"/>
            <a:t>/a</a:t>
          </a:r>
        </a:p>
        <a:p xmlns:a="http://schemas.openxmlformats.org/drawingml/2006/main">
          <a:r>
            <a:rPr lang="en-US" sz="1000" dirty="0"/>
            <a:t>                Compare a cultivar at different seeding dates - 3.5 </a:t>
          </a:r>
          <a:r>
            <a:rPr lang="en-US" sz="1000" dirty="0" err="1"/>
            <a:t>bu</a:t>
          </a:r>
          <a:r>
            <a:rPr lang="en-US" sz="1000" dirty="0"/>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0.11623</cdr:x>
      <cdr:y>0.8724</cdr:y>
    </cdr:from>
    <cdr:to>
      <cdr:x>0.77126</cdr:x>
      <cdr:y>0.98095</cdr:y>
    </cdr:to>
    <cdr:sp macro="" textlink="">
      <cdr:nvSpPr>
        <cdr:cNvPr id="2" name="TextBox 1"/>
        <cdr:cNvSpPr txBox="1"/>
      </cdr:nvSpPr>
      <cdr:spPr>
        <a:xfrm xmlns:a="http://schemas.openxmlformats.org/drawingml/2006/main">
          <a:off x="684699" y="3514968"/>
          <a:ext cx="3858726" cy="4373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dirty="0"/>
            <a:t>LSD 5%.  Compare cultivars at same seeding date - 30 $/a</a:t>
          </a:r>
        </a:p>
        <a:p xmlns:a="http://schemas.openxmlformats.org/drawingml/2006/main">
          <a:r>
            <a:rPr lang="en-US" sz="1000" dirty="0"/>
            <a:t>                 Compare a cultivar at different seeding dates - 37 $/a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324D-2FA9-47ED-899C-D305F759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bryan.k.hanson</dc:creator>
  <cp:keywords/>
  <dc:description/>
  <cp:lastModifiedBy>Kendall Nichols</cp:lastModifiedBy>
  <cp:revision>2</cp:revision>
  <cp:lastPrinted>2019-05-18T13:48:00Z</cp:lastPrinted>
  <dcterms:created xsi:type="dcterms:W3CDTF">2019-05-18T13:50:00Z</dcterms:created>
  <dcterms:modified xsi:type="dcterms:W3CDTF">2019-05-18T13:50:00Z</dcterms:modified>
</cp:coreProperties>
</file>