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B14" w:rsidRDefault="00D97B14" w:rsidP="00AE24C5">
      <w:pPr>
        <w:jc w:val="center"/>
        <w:rPr>
          <w:b/>
          <w:sz w:val="24"/>
        </w:rPr>
      </w:pPr>
      <w:bookmarkStart w:id="0" w:name="_GoBack"/>
      <w:bookmarkEnd w:id="0"/>
    </w:p>
    <w:p w:rsidR="00D97B14" w:rsidRDefault="00D97B14" w:rsidP="00AE24C5">
      <w:pPr>
        <w:jc w:val="center"/>
        <w:rPr>
          <w:b/>
          <w:sz w:val="24"/>
        </w:rPr>
      </w:pPr>
    </w:p>
    <w:p w:rsidR="00D97B14" w:rsidRDefault="00EE5EC8" w:rsidP="00AE24C5">
      <w:pPr>
        <w:jc w:val="center"/>
        <w:rPr>
          <w:b/>
          <w:sz w:val="24"/>
        </w:rPr>
      </w:pPr>
      <w:r>
        <w:rPr>
          <w:noProof/>
        </w:rPr>
        <w:drawing>
          <wp:anchor distT="0" distB="0" distL="114300" distR="114300" simplePos="0" relativeHeight="251663360" behindDoc="1" locked="0" layoutInCell="1" allowOverlap="1" wp14:anchorId="5FD540A7" wp14:editId="131E38A3">
            <wp:simplePos x="0" y="0"/>
            <wp:positionH relativeFrom="margin">
              <wp:posOffset>3513455</wp:posOffset>
            </wp:positionH>
            <wp:positionV relativeFrom="paragraph">
              <wp:posOffset>132715</wp:posOffset>
            </wp:positionV>
            <wp:extent cx="2772410" cy="1247775"/>
            <wp:effectExtent l="0" t="0" r="8890" b="9525"/>
            <wp:wrapTight wrapText="bothSides">
              <wp:wrapPolygon edited="0">
                <wp:start x="0" y="0"/>
                <wp:lineTo x="0" y="21435"/>
                <wp:lineTo x="21521" y="21435"/>
                <wp:lineTo x="21521" y="0"/>
                <wp:lineTo x="0" y="0"/>
              </wp:wrapPolygon>
            </wp:wrapTight>
            <wp:docPr id="4" name="Picture 4" descr="Maryland Soybea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aryland Soybean Bo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241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2C6E">
        <w:rPr>
          <w:rFonts w:ascii="Arial" w:hAnsi="Arial" w:cs="Arial"/>
          <w:noProof/>
          <w:color w:val="222222"/>
          <w:sz w:val="19"/>
          <w:szCs w:val="19"/>
          <w:shd w:val="clear" w:color="auto" w:fill="FFFFFF"/>
        </w:rPr>
        <w:drawing>
          <wp:anchor distT="0" distB="0" distL="114300" distR="114300" simplePos="0" relativeHeight="251661312" behindDoc="0" locked="0" layoutInCell="1" allowOverlap="1" wp14:anchorId="480C7B87" wp14:editId="21EBC083">
            <wp:simplePos x="0" y="0"/>
            <wp:positionH relativeFrom="margin">
              <wp:posOffset>581025</wp:posOffset>
            </wp:positionH>
            <wp:positionV relativeFrom="paragraph">
              <wp:posOffset>8890</wp:posOffset>
            </wp:positionV>
            <wp:extent cx="2114550" cy="1409700"/>
            <wp:effectExtent l="0" t="0" r="0" b="0"/>
            <wp:wrapNone/>
            <wp:docPr id="7" name="Picture 4" descr="\\moo.umd.edu\shares\users\kent\benslen\Documents\Admin\New Logo\New UME Logo Package - 11_13_17\UME logos\Primary UME logo\final_UMD_extension_pms_color.png"/>
            <wp:cNvGraphicFramePr/>
            <a:graphic xmlns:a="http://schemas.openxmlformats.org/drawingml/2006/main">
              <a:graphicData uri="http://schemas.openxmlformats.org/drawingml/2006/picture">
                <pic:pic xmlns:pic="http://schemas.openxmlformats.org/drawingml/2006/picture">
                  <pic:nvPicPr>
                    <pic:cNvPr id="5" name="Picture 4" descr="\\moo.umd.edu\shares\users\kent\benslen\Documents\Admin\New Logo\New UME Logo Package - 11_13_17\UME logos\Primary UME logo\final_UMD_extension_pms_color.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7B14" w:rsidRDefault="00D97B14" w:rsidP="00AE24C5">
      <w:pPr>
        <w:jc w:val="center"/>
        <w:rPr>
          <w:b/>
          <w:sz w:val="24"/>
        </w:rPr>
      </w:pPr>
    </w:p>
    <w:p w:rsidR="00D97B14" w:rsidRDefault="00D97B14" w:rsidP="00AE24C5">
      <w:pPr>
        <w:jc w:val="center"/>
        <w:rPr>
          <w:b/>
          <w:sz w:val="24"/>
        </w:rPr>
      </w:pPr>
    </w:p>
    <w:p w:rsidR="00D97B14" w:rsidRDefault="00D97B14" w:rsidP="00AE24C5">
      <w:pPr>
        <w:jc w:val="center"/>
        <w:rPr>
          <w:b/>
          <w:sz w:val="24"/>
        </w:rPr>
      </w:pPr>
    </w:p>
    <w:p w:rsidR="00D97B14" w:rsidRDefault="00D97B14" w:rsidP="00AE24C5">
      <w:pPr>
        <w:jc w:val="center"/>
        <w:rPr>
          <w:b/>
          <w:sz w:val="24"/>
        </w:rPr>
      </w:pPr>
    </w:p>
    <w:p w:rsidR="00D97B14" w:rsidRDefault="00D97B14" w:rsidP="00AE24C5">
      <w:pPr>
        <w:jc w:val="center"/>
        <w:rPr>
          <w:b/>
          <w:sz w:val="24"/>
        </w:rPr>
      </w:pPr>
    </w:p>
    <w:p w:rsidR="00D97B14" w:rsidRDefault="00D97B14" w:rsidP="00AE24C5">
      <w:pPr>
        <w:jc w:val="center"/>
        <w:rPr>
          <w:b/>
          <w:sz w:val="24"/>
        </w:rPr>
      </w:pPr>
    </w:p>
    <w:p w:rsidR="00D97B14" w:rsidRDefault="00D97B14" w:rsidP="00AE24C5">
      <w:pPr>
        <w:jc w:val="center"/>
        <w:rPr>
          <w:b/>
          <w:sz w:val="24"/>
        </w:rPr>
      </w:pPr>
    </w:p>
    <w:p w:rsidR="00D97B14" w:rsidRDefault="00D97B14" w:rsidP="00AE24C5">
      <w:pPr>
        <w:jc w:val="center"/>
        <w:rPr>
          <w:b/>
          <w:sz w:val="24"/>
        </w:rPr>
      </w:pPr>
    </w:p>
    <w:p w:rsidR="00D97B14" w:rsidRDefault="00D97B14" w:rsidP="00AE24C5">
      <w:pPr>
        <w:jc w:val="center"/>
        <w:rPr>
          <w:b/>
          <w:sz w:val="24"/>
        </w:rPr>
      </w:pPr>
    </w:p>
    <w:p w:rsidR="00D97B14" w:rsidRDefault="00D97B14" w:rsidP="00AE24C5">
      <w:pPr>
        <w:jc w:val="center"/>
        <w:rPr>
          <w:b/>
          <w:sz w:val="24"/>
        </w:rPr>
      </w:pPr>
    </w:p>
    <w:p w:rsidR="00F831B4" w:rsidRPr="00D97B14" w:rsidRDefault="00740EA0" w:rsidP="00AE24C5">
      <w:pPr>
        <w:jc w:val="center"/>
        <w:rPr>
          <w:b/>
          <w:sz w:val="24"/>
        </w:rPr>
      </w:pPr>
      <w:r w:rsidRPr="00D97B14">
        <w:rPr>
          <w:b/>
          <w:sz w:val="24"/>
        </w:rPr>
        <w:t xml:space="preserve">2017 </w:t>
      </w:r>
      <w:r w:rsidR="00475737" w:rsidRPr="00D97B14">
        <w:rPr>
          <w:b/>
          <w:sz w:val="24"/>
        </w:rPr>
        <w:t>Final</w:t>
      </w:r>
      <w:r w:rsidR="00F831B4" w:rsidRPr="00D97B14">
        <w:rPr>
          <w:b/>
          <w:sz w:val="24"/>
        </w:rPr>
        <w:t xml:space="preserve"> Report</w:t>
      </w:r>
    </w:p>
    <w:p w:rsidR="00AE24C5" w:rsidRPr="00D97B14" w:rsidRDefault="005B3748" w:rsidP="00AE24C5">
      <w:pPr>
        <w:jc w:val="center"/>
        <w:rPr>
          <w:b/>
          <w:sz w:val="24"/>
        </w:rPr>
      </w:pPr>
      <w:r>
        <w:rPr>
          <w:b/>
          <w:sz w:val="24"/>
        </w:rPr>
        <w:t>Evaluation of Integrated Strategies to Manage Herbicide Resistant Weeds in Soybean</w:t>
      </w:r>
    </w:p>
    <w:p w:rsidR="00171D7B" w:rsidRPr="00D97B14" w:rsidRDefault="00171D7B" w:rsidP="00AE24C5">
      <w:pPr>
        <w:jc w:val="center"/>
        <w:rPr>
          <w:b/>
          <w:sz w:val="24"/>
        </w:rPr>
      </w:pPr>
      <w:r w:rsidRPr="00D97B14">
        <w:rPr>
          <w:b/>
          <w:sz w:val="24"/>
        </w:rPr>
        <w:t>Ben Beale, University of Maryland Extension</w:t>
      </w:r>
    </w:p>
    <w:p w:rsidR="002E6AA4" w:rsidRPr="00D97B14" w:rsidRDefault="002E6AA4" w:rsidP="00AE24C5">
      <w:pPr>
        <w:jc w:val="center"/>
        <w:rPr>
          <w:b/>
          <w:sz w:val="24"/>
        </w:rPr>
      </w:pPr>
    </w:p>
    <w:p w:rsidR="002E6AA4" w:rsidRPr="00D97B14" w:rsidRDefault="002E6AA4" w:rsidP="00AE24C5">
      <w:pPr>
        <w:jc w:val="center"/>
        <w:rPr>
          <w:b/>
          <w:sz w:val="24"/>
        </w:rPr>
      </w:pPr>
    </w:p>
    <w:p w:rsidR="009C2A94" w:rsidRPr="00D97B14" w:rsidRDefault="00702C96">
      <w:pPr>
        <w:rPr>
          <w:b/>
          <w:sz w:val="24"/>
          <w:u w:val="single"/>
        </w:rPr>
      </w:pPr>
      <w:r>
        <w:rPr>
          <w:b/>
          <w:sz w:val="24"/>
          <w:u w:val="single"/>
        </w:rPr>
        <w:t>Palmer</w:t>
      </w:r>
      <w:r w:rsidR="002E6AA4" w:rsidRPr="00D97B14">
        <w:rPr>
          <w:b/>
          <w:sz w:val="24"/>
          <w:u w:val="single"/>
        </w:rPr>
        <w:t xml:space="preserve"> Amaranth Trials</w:t>
      </w:r>
    </w:p>
    <w:p w:rsidR="00475737" w:rsidRPr="00D97B14" w:rsidRDefault="000D1978">
      <w:pPr>
        <w:rPr>
          <w:sz w:val="24"/>
        </w:rPr>
      </w:pPr>
      <w:r w:rsidRPr="00D97B14">
        <w:rPr>
          <w:sz w:val="24"/>
        </w:rPr>
        <w:t>H</w:t>
      </w:r>
      <w:r w:rsidR="00740EA0" w:rsidRPr="00D97B14">
        <w:rPr>
          <w:sz w:val="24"/>
        </w:rPr>
        <w:t>erbicide</w:t>
      </w:r>
      <w:r w:rsidR="009C2A94" w:rsidRPr="00D97B14">
        <w:rPr>
          <w:sz w:val="24"/>
        </w:rPr>
        <w:t xml:space="preserve"> trials </w:t>
      </w:r>
      <w:r w:rsidRPr="00D97B14">
        <w:rPr>
          <w:sz w:val="24"/>
        </w:rPr>
        <w:t xml:space="preserve">for residual control of </w:t>
      </w:r>
      <w:r w:rsidR="00702C96">
        <w:rPr>
          <w:sz w:val="24"/>
        </w:rPr>
        <w:t>Palmer</w:t>
      </w:r>
      <w:r w:rsidRPr="00D97B14">
        <w:rPr>
          <w:sz w:val="24"/>
        </w:rPr>
        <w:t xml:space="preserve"> amaranth </w:t>
      </w:r>
      <w:r w:rsidR="002F6188" w:rsidRPr="00D97B14">
        <w:rPr>
          <w:sz w:val="24"/>
        </w:rPr>
        <w:t>were conducted at</w:t>
      </w:r>
      <w:r w:rsidR="009C2A94" w:rsidRPr="00D97B14">
        <w:rPr>
          <w:sz w:val="24"/>
        </w:rPr>
        <w:t xml:space="preserve"> two locations in Southern Ma</w:t>
      </w:r>
      <w:r w:rsidR="00702C96">
        <w:rPr>
          <w:sz w:val="24"/>
        </w:rPr>
        <w:t>ryland, one in Charles County near</w:t>
      </w:r>
      <w:r w:rsidR="009C2A94" w:rsidRPr="00D97B14">
        <w:rPr>
          <w:sz w:val="24"/>
        </w:rPr>
        <w:t xml:space="preserve"> the town of Newburg and the second in St. Mary’s County near the town of Mechanicsville</w:t>
      </w:r>
      <w:r w:rsidR="006A7D80" w:rsidRPr="00D97B14">
        <w:rPr>
          <w:sz w:val="24"/>
        </w:rPr>
        <w:t>. Both</w:t>
      </w:r>
      <w:r w:rsidR="009C2A94" w:rsidRPr="00D97B14">
        <w:rPr>
          <w:sz w:val="24"/>
        </w:rPr>
        <w:t xml:space="preserve"> sites had </w:t>
      </w:r>
      <w:r w:rsidR="006A7D80" w:rsidRPr="00D97B14">
        <w:rPr>
          <w:sz w:val="24"/>
        </w:rPr>
        <w:t xml:space="preserve">a </w:t>
      </w:r>
      <w:r w:rsidR="009C2A94" w:rsidRPr="00D97B14">
        <w:rPr>
          <w:sz w:val="24"/>
        </w:rPr>
        <w:t xml:space="preserve">heavy infestation of glyphosate and ALS resistant </w:t>
      </w:r>
      <w:r w:rsidR="00702C96">
        <w:rPr>
          <w:sz w:val="24"/>
        </w:rPr>
        <w:t>Palmer</w:t>
      </w:r>
      <w:r w:rsidR="009C2A94" w:rsidRPr="00D97B14">
        <w:rPr>
          <w:sz w:val="24"/>
        </w:rPr>
        <w:t xml:space="preserve"> amaranth the preceding crop year. Fifteen treatments </w:t>
      </w:r>
      <w:r w:rsidR="002F6188" w:rsidRPr="00D97B14">
        <w:rPr>
          <w:sz w:val="24"/>
        </w:rPr>
        <w:t>were</w:t>
      </w:r>
      <w:r w:rsidR="009C2A94" w:rsidRPr="00D97B14">
        <w:rPr>
          <w:sz w:val="24"/>
        </w:rPr>
        <w:t xml:space="preserve"> evaluated in the trial</w:t>
      </w:r>
      <w:r w:rsidR="00740EA0" w:rsidRPr="00D97B14">
        <w:rPr>
          <w:sz w:val="24"/>
        </w:rPr>
        <w:t xml:space="preserve"> as represented by the chart below. </w:t>
      </w:r>
      <w:r w:rsidR="00476243" w:rsidRPr="00D97B14">
        <w:rPr>
          <w:sz w:val="24"/>
        </w:rPr>
        <w:t xml:space="preserve">Each location utilized a complete block randomized design with four replications. </w:t>
      </w:r>
      <w:r w:rsidR="00475737" w:rsidRPr="00D97B14">
        <w:rPr>
          <w:sz w:val="24"/>
        </w:rPr>
        <w:t xml:space="preserve">The plot treatment area consisted of 12 rows (15 feet) by 30 feet long.  </w:t>
      </w:r>
      <w:r w:rsidR="00702C96">
        <w:rPr>
          <w:sz w:val="24"/>
        </w:rPr>
        <w:t>C</w:t>
      </w:r>
      <w:r w:rsidR="00475737" w:rsidRPr="00D97B14">
        <w:rPr>
          <w:sz w:val="24"/>
        </w:rPr>
        <w:t xml:space="preserve">ounts of </w:t>
      </w:r>
      <w:r w:rsidR="00702C96">
        <w:rPr>
          <w:sz w:val="24"/>
        </w:rPr>
        <w:t>Palmer</w:t>
      </w:r>
      <w:r w:rsidR="00475737" w:rsidRPr="00D97B14">
        <w:rPr>
          <w:sz w:val="24"/>
        </w:rPr>
        <w:t xml:space="preserve"> amaranth were taken from the middle 4 rows of each plot, which represented an actual area of 150 square feet (5 feet by 30 feet). The number of emerged </w:t>
      </w:r>
      <w:r w:rsidR="00702C96">
        <w:rPr>
          <w:sz w:val="24"/>
        </w:rPr>
        <w:t>Palmer</w:t>
      </w:r>
      <w:r w:rsidR="00475737" w:rsidRPr="00D97B14">
        <w:rPr>
          <w:sz w:val="24"/>
        </w:rPr>
        <w:t xml:space="preserve"> plants was recorded from individual plots starting 10 days after treatment and every 7 days thereafter. The average height of the five tallest </w:t>
      </w:r>
      <w:r w:rsidR="00702C96">
        <w:rPr>
          <w:sz w:val="24"/>
        </w:rPr>
        <w:t>Palmer</w:t>
      </w:r>
      <w:r w:rsidR="00475737" w:rsidRPr="00D97B14">
        <w:rPr>
          <w:sz w:val="24"/>
        </w:rPr>
        <w:t xml:space="preserve"> amaranth plants in each plot was also recorded.  Data was analyzed using an ANOVA and t-test for significant differences at the 0.05 confidence level.</w:t>
      </w:r>
    </w:p>
    <w:p w:rsidR="00475737" w:rsidRPr="00D97B14" w:rsidRDefault="00475737">
      <w:pPr>
        <w:rPr>
          <w:sz w:val="24"/>
        </w:rPr>
      </w:pPr>
    </w:p>
    <w:p w:rsidR="001D5F61" w:rsidRPr="00D97B14" w:rsidRDefault="001D5F61" w:rsidP="001D5F61">
      <w:pPr>
        <w:rPr>
          <w:sz w:val="24"/>
        </w:rPr>
      </w:pPr>
      <w:r w:rsidRPr="00D97B14">
        <w:rPr>
          <w:sz w:val="24"/>
        </w:rPr>
        <w:t xml:space="preserve">The Charles County site was planted as full season soybeans on May 9 using a no-till planter on 15 inch rows with Asgrow AG47X6 Roundup Ready2 Xtend seed. The preceding crop was corn with a heavy infestation of </w:t>
      </w:r>
      <w:r w:rsidR="00702C96">
        <w:rPr>
          <w:sz w:val="24"/>
        </w:rPr>
        <w:t>Palmer</w:t>
      </w:r>
      <w:r w:rsidRPr="00D97B14">
        <w:rPr>
          <w:sz w:val="24"/>
        </w:rPr>
        <w:t xml:space="preserve"> amaranth.  </w:t>
      </w:r>
      <w:r w:rsidR="007D0641" w:rsidRPr="00D97B14">
        <w:rPr>
          <w:sz w:val="24"/>
        </w:rPr>
        <w:t xml:space="preserve">The soil type was Dodon fine sandy loam. </w:t>
      </w:r>
      <w:r w:rsidRPr="00D97B14">
        <w:rPr>
          <w:sz w:val="24"/>
        </w:rPr>
        <w:t>Gramoxone SL was applied at 2 pints/acre on May 10</w:t>
      </w:r>
      <w:r w:rsidRPr="00D97B14">
        <w:rPr>
          <w:sz w:val="24"/>
          <w:vertAlign w:val="superscript"/>
        </w:rPr>
        <w:t>th</w:t>
      </w:r>
      <w:r w:rsidRPr="00D97B14">
        <w:rPr>
          <w:sz w:val="24"/>
        </w:rPr>
        <w:t xml:space="preserve"> to terminate all existing vegetation and residual products were applied May 11</w:t>
      </w:r>
      <w:r w:rsidRPr="00D97B14">
        <w:rPr>
          <w:sz w:val="24"/>
          <w:vertAlign w:val="superscript"/>
        </w:rPr>
        <w:t>th</w:t>
      </w:r>
      <w:r w:rsidRPr="00D97B14">
        <w:rPr>
          <w:sz w:val="24"/>
        </w:rPr>
        <w:t>.  A delayed post residual application of Dual was made to selected plots on May 31</w:t>
      </w:r>
      <w:r w:rsidRPr="00D97B14">
        <w:rPr>
          <w:sz w:val="24"/>
          <w:vertAlign w:val="superscript"/>
        </w:rPr>
        <w:t>st</w:t>
      </w:r>
      <w:r w:rsidRPr="00D97B14">
        <w:rPr>
          <w:sz w:val="24"/>
        </w:rPr>
        <w:t>. All plots received an application of glyphosate on May 31</w:t>
      </w:r>
      <w:r w:rsidRPr="00D97B14">
        <w:rPr>
          <w:sz w:val="24"/>
          <w:vertAlign w:val="superscript"/>
        </w:rPr>
        <w:t>st</w:t>
      </w:r>
      <w:r w:rsidRPr="00D97B14">
        <w:rPr>
          <w:sz w:val="24"/>
        </w:rPr>
        <w:t>. A rescue application of Xtendimaxx was applied July 13</w:t>
      </w:r>
      <w:r w:rsidRPr="00D97B14">
        <w:rPr>
          <w:sz w:val="24"/>
          <w:vertAlign w:val="superscript"/>
        </w:rPr>
        <w:t>th</w:t>
      </w:r>
      <w:r w:rsidRPr="00D97B14">
        <w:rPr>
          <w:sz w:val="24"/>
        </w:rPr>
        <w:t xml:space="preserve"> to all plots to terminate </w:t>
      </w:r>
      <w:r w:rsidR="00702C96">
        <w:rPr>
          <w:sz w:val="24"/>
        </w:rPr>
        <w:t>Palmer</w:t>
      </w:r>
      <w:r w:rsidRPr="00D97B14">
        <w:rPr>
          <w:sz w:val="24"/>
        </w:rPr>
        <w:t xml:space="preserve"> amaranth and reduce seed pressure for the next year.</w:t>
      </w:r>
    </w:p>
    <w:p w:rsidR="001D5F61" w:rsidRPr="00D97B14" w:rsidRDefault="001D5F61" w:rsidP="001D5F61">
      <w:pPr>
        <w:rPr>
          <w:sz w:val="24"/>
        </w:rPr>
      </w:pPr>
    </w:p>
    <w:p w:rsidR="001D5F61" w:rsidRPr="00D97B14" w:rsidRDefault="001D5F61" w:rsidP="001D5F61">
      <w:pPr>
        <w:rPr>
          <w:sz w:val="24"/>
        </w:rPr>
      </w:pPr>
      <w:r w:rsidRPr="00D97B14">
        <w:rPr>
          <w:sz w:val="24"/>
        </w:rPr>
        <w:t xml:space="preserve">The St. Mary’s County site </w:t>
      </w:r>
      <w:r w:rsidR="00233EB3" w:rsidRPr="00D97B14">
        <w:rPr>
          <w:sz w:val="24"/>
        </w:rPr>
        <w:t>was planted in</w:t>
      </w:r>
      <w:r w:rsidRPr="00D97B14">
        <w:rPr>
          <w:sz w:val="24"/>
        </w:rPr>
        <w:t xml:space="preserve"> double crop soybeans following wheat on June 29th using a no-till planter on 15 inch rows with Asgrow AG47X6 Roundup Ready2 Xtend seed. The preceding crop was </w:t>
      </w:r>
      <w:r w:rsidR="002E6AA4" w:rsidRPr="00D97B14">
        <w:rPr>
          <w:sz w:val="24"/>
        </w:rPr>
        <w:t>corn</w:t>
      </w:r>
      <w:r w:rsidRPr="00D97B14">
        <w:rPr>
          <w:sz w:val="24"/>
        </w:rPr>
        <w:t xml:space="preserve"> with a heavy infestation of </w:t>
      </w:r>
      <w:r w:rsidR="00702C96">
        <w:rPr>
          <w:sz w:val="24"/>
        </w:rPr>
        <w:t>Palmer</w:t>
      </w:r>
      <w:r w:rsidRPr="00D97B14">
        <w:rPr>
          <w:sz w:val="24"/>
        </w:rPr>
        <w:t xml:space="preserve"> amaranth.</w:t>
      </w:r>
      <w:r w:rsidR="002E6AA4" w:rsidRPr="00D97B14">
        <w:rPr>
          <w:sz w:val="24"/>
        </w:rPr>
        <w:t xml:space="preserve"> </w:t>
      </w:r>
      <w:r w:rsidR="001A64B3" w:rsidRPr="00D97B14">
        <w:rPr>
          <w:sz w:val="24"/>
        </w:rPr>
        <w:t xml:space="preserve">The soil type was Othello silt loam. </w:t>
      </w:r>
      <w:r w:rsidRPr="00D97B14">
        <w:rPr>
          <w:sz w:val="24"/>
        </w:rPr>
        <w:t>Gramoxone SL was applied at 2 pints/acre June 30th to terminate all existing vegetation and residual products were applied July 1. A delayed post</w:t>
      </w:r>
      <w:r w:rsidR="00702C96">
        <w:rPr>
          <w:sz w:val="24"/>
        </w:rPr>
        <w:t>-emergence</w:t>
      </w:r>
      <w:r w:rsidRPr="00D97B14">
        <w:rPr>
          <w:sz w:val="24"/>
        </w:rPr>
        <w:t xml:space="preserve"> residual application of Dual was made to selected plots on July 24</w:t>
      </w:r>
      <w:r w:rsidRPr="00D97B14">
        <w:rPr>
          <w:sz w:val="24"/>
          <w:vertAlign w:val="superscript"/>
        </w:rPr>
        <w:t>th</w:t>
      </w:r>
      <w:r w:rsidRPr="00D97B14">
        <w:rPr>
          <w:sz w:val="24"/>
        </w:rPr>
        <w:t>. All plots received an application of glyphosate on July 24</w:t>
      </w:r>
      <w:r w:rsidRPr="00D97B14">
        <w:rPr>
          <w:sz w:val="24"/>
          <w:vertAlign w:val="superscript"/>
        </w:rPr>
        <w:t>th</w:t>
      </w:r>
      <w:r w:rsidRPr="00D97B14">
        <w:rPr>
          <w:sz w:val="24"/>
        </w:rPr>
        <w:t xml:space="preserve"> as well. A rescue application of Xtendimaxx was applied September 25</w:t>
      </w:r>
      <w:r w:rsidRPr="00D97B14">
        <w:rPr>
          <w:sz w:val="24"/>
          <w:vertAlign w:val="superscript"/>
        </w:rPr>
        <w:t>th</w:t>
      </w:r>
      <w:r w:rsidRPr="00D97B14">
        <w:rPr>
          <w:sz w:val="24"/>
        </w:rPr>
        <w:t xml:space="preserve"> to all plots to terminate </w:t>
      </w:r>
      <w:r w:rsidR="00702C96">
        <w:rPr>
          <w:sz w:val="24"/>
        </w:rPr>
        <w:t>Palmer</w:t>
      </w:r>
      <w:r w:rsidRPr="00D97B14">
        <w:rPr>
          <w:sz w:val="24"/>
        </w:rPr>
        <w:t xml:space="preserve"> amaranth and reduce seed pressure for the next year.</w:t>
      </w:r>
    </w:p>
    <w:p w:rsidR="00475737" w:rsidRPr="00D97B14" w:rsidRDefault="00475737">
      <w:pPr>
        <w:rPr>
          <w:sz w:val="24"/>
        </w:rPr>
      </w:pPr>
    </w:p>
    <w:p w:rsidR="00475737" w:rsidRDefault="00475737"/>
    <w:p w:rsidR="00702C96" w:rsidRDefault="00702C96"/>
    <w:p w:rsidR="00702C96" w:rsidRDefault="00702C96"/>
    <w:p w:rsidR="00740EA0" w:rsidRPr="003B4F97" w:rsidRDefault="0087525D">
      <w:pPr>
        <w:rPr>
          <w:sz w:val="24"/>
        </w:rPr>
      </w:pPr>
      <w:r w:rsidRPr="003B4F97">
        <w:rPr>
          <w:sz w:val="24"/>
        </w:rPr>
        <w:lastRenderedPageBreak/>
        <w:t>Table 1: Herbicide Treatments</w:t>
      </w:r>
    </w:p>
    <w:tbl>
      <w:tblPr>
        <w:tblStyle w:val="TableGrid"/>
        <w:tblW w:w="10075" w:type="dxa"/>
        <w:tblLook w:val="04A0" w:firstRow="1" w:lastRow="0" w:firstColumn="1" w:lastColumn="0" w:noHBand="0" w:noVBand="1"/>
      </w:tblPr>
      <w:tblGrid>
        <w:gridCol w:w="1271"/>
        <w:gridCol w:w="3458"/>
        <w:gridCol w:w="2324"/>
        <w:gridCol w:w="3022"/>
      </w:tblGrid>
      <w:tr w:rsidR="00740EA0" w:rsidTr="001F43FD">
        <w:tc>
          <w:tcPr>
            <w:tcW w:w="1165" w:type="dxa"/>
          </w:tcPr>
          <w:p w:rsidR="00740EA0" w:rsidRPr="00702C96" w:rsidRDefault="00740EA0" w:rsidP="00702C96">
            <w:pPr>
              <w:jc w:val="center"/>
              <w:rPr>
                <w:b/>
              </w:rPr>
            </w:pPr>
            <w:r w:rsidRPr="00702C96">
              <w:rPr>
                <w:b/>
              </w:rPr>
              <w:t>Treatment #</w:t>
            </w:r>
          </w:p>
        </w:tc>
        <w:tc>
          <w:tcPr>
            <w:tcW w:w="3509" w:type="dxa"/>
          </w:tcPr>
          <w:p w:rsidR="00740EA0" w:rsidRPr="00702C96" w:rsidRDefault="00740EA0" w:rsidP="00702C96">
            <w:pPr>
              <w:jc w:val="center"/>
              <w:rPr>
                <w:b/>
              </w:rPr>
            </w:pPr>
            <w:r w:rsidRPr="00702C96">
              <w:rPr>
                <w:b/>
              </w:rPr>
              <w:t>Treatment and Rate</w:t>
            </w:r>
          </w:p>
        </w:tc>
        <w:tc>
          <w:tcPr>
            <w:tcW w:w="2338" w:type="dxa"/>
          </w:tcPr>
          <w:p w:rsidR="00740EA0" w:rsidRPr="00702C96" w:rsidRDefault="00740EA0" w:rsidP="00702C96">
            <w:pPr>
              <w:jc w:val="center"/>
              <w:rPr>
                <w:b/>
              </w:rPr>
            </w:pPr>
            <w:r w:rsidRPr="00702C96">
              <w:rPr>
                <w:b/>
              </w:rPr>
              <w:t>Common Name</w:t>
            </w:r>
          </w:p>
        </w:tc>
        <w:tc>
          <w:tcPr>
            <w:tcW w:w="3063" w:type="dxa"/>
          </w:tcPr>
          <w:p w:rsidR="00740EA0" w:rsidRPr="00702C96" w:rsidRDefault="00740EA0" w:rsidP="00702C96">
            <w:pPr>
              <w:jc w:val="center"/>
              <w:rPr>
                <w:b/>
              </w:rPr>
            </w:pPr>
            <w:r w:rsidRPr="00702C96">
              <w:rPr>
                <w:b/>
              </w:rPr>
              <w:t>Equivalent To</w:t>
            </w:r>
          </w:p>
        </w:tc>
      </w:tr>
      <w:tr w:rsidR="00740EA0" w:rsidTr="001F43FD">
        <w:tc>
          <w:tcPr>
            <w:tcW w:w="1165" w:type="dxa"/>
          </w:tcPr>
          <w:p w:rsidR="00740EA0" w:rsidRDefault="00740EA0" w:rsidP="00702C96">
            <w:pPr>
              <w:jc w:val="center"/>
            </w:pPr>
            <w:r>
              <w:t>1</w:t>
            </w:r>
          </w:p>
        </w:tc>
        <w:tc>
          <w:tcPr>
            <w:tcW w:w="3509" w:type="dxa"/>
          </w:tcPr>
          <w:p w:rsidR="00740EA0" w:rsidRDefault="00740EA0" w:rsidP="001F43FD">
            <w:r>
              <w:t>Control</w:t>
            </w:r>
          </w:p>
        </w:tc>
        <w:tc>
          <w:tcPr>
            <w:tcW w:w="2338" w:type="dxa"/>
          </w:tcPr>
          <w:p w:rsidR="00740EA0" w:rsidRDefault="00740EA0" w:rsidP="001F43FD"/>
        </w:tc>
        <w:tc>
          <w:tcPr>
            <w:tcW w:w="3063" w:type="dxa"/>
          </w:tcPr>
          <w:p w:rsidR="00740EA0" w:rsidRDefault="00740EA0" w:rsidP="001F43FD">
            <w:r>
              <w:t xml:space="preserve"> No herbicide applied</w:t>
            </w:r>
          </w:p>
        </w:tc>
      </w:tr>
      <w:tr w:rsidR="00740EA0" w:rsidTr="001F43FD">
        <w:tc>
          <w:tcPr>
            <w:tcW w:w="1165" w:type="dxa"/>
          </w:tcPr>
          <w:p w:rsidR="00740EA0" w:rsidRDefault="00740EA0" w:rsidP="00702C96">
            <w:pPr>
              <w:jc w:val="center"/>
            </w:pPr>
            <w:r>
              <w:t>2</w:t>
            </w:r>
          </w:p>
        </w:tc>
        <w:tc>
          <w:tcPr>
            <w:tcW w:w="3509" w:type="dxa"/>
          </w:tcPr>
          <w:p w:rsidR="00740EA0" w:rsidRDefault="00740EA0" w:rsidP="001F43FD">
            <w:r w:rsidRPr="004640B6">
              <w:t>4 oz Canopy</w:t>
            </w:r>
          </w:p>
        </w:tc>
        <w:tc>
          <w:tcPr>
            <w:tcW w:w="2338" w:type="dxa"/>
          </w:tcPr>
          <w:p w:rsidR="00740EA0" w:rsidRDefault="00740EA0" w:rsidP="001F43FD">
            <w:r w:rsidRPr="004640B6">
              <w:t>(metribuzin + chlorimuron)</w:t>
            </w:r>
          </w:p>
        </w:tc>
        <w:tc>
          <w:tcPr>
            <w:tcW w:w="3063" w:type="dxa"/>
          </w:tcPr>
          <w:p w:rsidR="00740EA0" w:rsidRDefault="00740EA0" w:rsidP="001F43FD">
            <w:r>
              <w:t>3.43 ozs metribuzin 75DF</w:t>
            </w:r>
          </w:p>
          <w:p w:rsidR="00740EA0" w:rsidRDefault="00740EA0" w:rsidP="001F43FD">
            <w:r>
              <w:t>1.71 ozs Classic</w:t>
            </w:r>
          </w:p>
        </w:tc>
      </w:tr>
      <w:tr w:rsidR="00740EA0" w:rsidTr="001F43FD">
        <w:tc>
          <w:tcPr>
            <w:tcW w:w="1165" w:type="dxa"/>
          </w:tcPr>
          <w:p w:rsidR="00740EA0" w:rsidRDefault="00740EA0" w:rsidP="00702C96">
            <w:pPr>
              <w:jc w:val="center"/>
            </w:pPr>
            <w:r>
              <w:t>3</w:t>
            </w:r>
          </w:p>
        </w:tc>
        <w:tc>
          <w:tcPr>
            <w:tcW w:w="3509" w:type="dxa"/>
          </w:tcPr>
          <w:p w:rsidR="00740EA0" w:rsidRDefault="00740EA0" w:rsidP="001F43FD">
            <w:r>
              <w:t>3 oz Valor SX +</w:t>
            </w:r>
          </w:p>
          <w:p w:rsidR="00740EA0" w:rsidRDefault="00740EA0" w:rsidP="001F43FD">
            <w:r>
              <w:t>1.33 pts Dual Magnum</w:t>
            </w:r>
          </w:p>
          <w:p w:rsidR="00740EA0" w:rsidRDefault="00740EA0" w:rsidP="001F43FD">
            <w:r>
              <w:t>(Off Label-Research use only)</w:t>
            </w:r>
          </w:p>
        </w:tc>
        <w:tc>
          <w:tcPr>
            <w:tcW w:w="2338" w:type="dxa"/>
          </w:tcPr>
          <w:p w:rsidR="00740EA0" w:rsidRDefault="00740EA0" w:rsidP="001F43FD">
            <w:r w:rsidRPr="0021269F">
              <w:t>(flumioxazin + s-metachlor)</w:t>
            </w:r>
          </w:p>
        </w:tc>
        <w:tc>
          <w:tcPr>
            <w:tcW w:w="3063" w:type="dxa"/>
          </w:tcPr>
          <w:p w:rsidR="00740EA0" w:rsidRDefault="00740EA0" w:rsidP="001F43FD">
            <w:r>
              <w:t>3 oz Valor SX</w:t>
            </w:r>
          </w:p>
          <w:p w:rsidR="00740EA0" w:rsidRDefault="00740EA0" w:rsidP="001F43FD">
            <w:r>
              <w:t>1.33 pts Dual Magnum</w:t>
            </w:r>
          </w:p>
        </w:tc>
      </w:tr>
      <w:tr w:rsidR="00740EA0" w:rsidTr="001F43FD">
        <w:tc>
          <w:tcPr>
            <w:tcW w:w="1165" w:type="dxa"/>
          </w:tcPr>
          <w:p w:rsidR="00740EA0" w:rsidRDefault="00740EA0" w:rsidP="00702C96">
            <w:pPr>
              <w:jc w:val="center"/>
            </w:pPr>
            <w:r>
              <w:t>4</w:t>
            </w:r>
          </w:p>
        </w:tc>
        <w:tc>
          <w:tcPr>
            <w:tcW w:w="3509" w:type="dxa"/>
          </w:tcPr>
          <w:p w:rsidR="00740EA0" w:rsidRDefault="00740EA0" w:rsidP="001F43FD">
            <w:r w:rsidRPr="0021269F">
              <w:t>3 oz Valor SX</w:t>
            </w:r>
          </w:p>
        </w:tc>
        <w:tc>
          <w:tcPr>
            <w:tcW w:w="2338" w:type="dxa"/>
          </w:tcPr>
          <w:p w:rsidR="00740EA0" w:rsidRDefault="00740EA0" w:rsidP="001F43FD">
            <w:r w:rsidRPr="0021269F">
              <w:t>(flumioxazin)</w:t>
            </w:r>
          </w:p>
        </w:tc>
        <w:tc>
          <w:tcPr>
            <w:tcW w:w="3063" w:type="dxa"/>
          </w:tcPr>
          <w:p w:rsidR="00740EA0" w:rsidRDefault="00740EA0" w:rsidP="001F43FD">
            <w:r w:rsidRPr="0021269F">
              <w:t>3 oz Valor SX</w:t>
            </w:r>
          </w:p>
        </w:tc>
      </w:tr>
      <w:tr w:rsidR="00740EA0" w:rsidTr="001F43FD">
        <w:tc>
          <w:tcPr>
            <w:tcW w:w="1165" w:type="dxa"/>
          </w:tcPr>
          <w:p w:rsidR="00740EA0" w:rsidRDefault="00740EA0" w:rsidP="00702C96">
            <w:pPr>
              <w:jc w:val="center"/>
            </w:pPr>
            <w:r>
              <w:t>5</w:t>
            </w:r>
          </w:p>
        </w:tc>
        <w:tc>
          <w:tcPr>
            <w:tcW w:w="3509" w:type="dxa"/>
          </w:tcPr>
          <w:p w:rsidR="00740EA0" w:rsidRDefault="00740EA0" w:rsidP="001F43FD">
            <w:r w:rsidRPr="0021269F">
              <w:t>4 oz Authority XL</w:t>
            </w:r>
          </w:p>
        </w:tc>
        <w:tc>
          <w:tcPr>
            <w:tcW w:w="2338" w:type="dxa"/>
          </w:tcPr>
          <w:p w:rsidR="00740EA0" w:rsidRDefault="00740EA0" w:rsidP="001F43FD">
            <w:r w:rsidRPr="0021269F">
              <w:t>(sulfentrazone + chlorimuron)</w:t>
            </w:r>
          </w:p>
        </w:tc>
        <w:tc>
          <w:tcPr>
            <w:tcW w:w="3063" w:type="dxa"/>
          </w:tcPr>
          <w:p w:rsidR="00740EA0" w:rsidRDefault="00740EA0" w:rsidP="001F43FD">
            <w:r>
              <w:t xml:space="preserve">5 oz Spartan </w:t>
            </w:r>
          </w:p>
          <w:p w:rsidR="00740EA0" w:rsidRDefault="00740EA0" w:rsidP="001F43FD">
            <w:r>
              <w:t>1.25 ozs Classic</w:t>
            </w:r>
          </w:p>
        </w:tc>
      </w:tr>
      <w:tr w:rsidR="00740EA0" w:rsidTr="001F43FD">
        <w:tc>
          <w:tcPr>
            <w:tcW w:w="1165" w:type="dxa"/>
          </w:tcPr>
          <w:p w:rsidR="00740EA0" w:rsidRDefault="00740EA0" w:rsidP="00702C96">
            <w:pPr>
              <w:jc w:val="center"/>
            </w:pPr>
            <w:r>
              <w:t>6</w:t>
            </w:r>
          </w:p>
        </w:tc>
        <w:tc>
          <w:tcPr>
            <w:tcW w:w="3509" w:type="dxa"/>
          </w:tcPr>
          <w:p w:rsidR="00740EA0" w:rsidRDefault="00740EA0" w:rsidP="001F43FD">
            <w:r w:rsidRPr="0021269F">
              <w:t>25 oz BroadAxe XC</w:t>
            </w:r>
          </w:p>
        </w:tc>
        <w:tc>
          <w:tcPr>
            <w:tcW w:w="2338" w:type="dxa"/>
          </w:tcPr>
          <w:p w:rsidR="00740EA0" w:rsidRDefault="00740EA0" w:rsidP="001F43FD">
            <w:r w:rsidRPr="0021269F">
              <w:t>(sulfentrazone + s-metolachlor)</w:t>
            </w:r>
          </w:p>
        </w:tc>
        <w:tc>
          <w:tcPr>
            <w:tcW w:w="3063" w:type="dxa"/>
          </w:tcPr>
          <w:p w:rsidR="00740EA0" w:rsidRDefault="00740EA0" w:rsidP="001F43FD">
            <w:r>
              <w:t xml:space="preserve">5.5 oz Spartan </w:t>
            </w:r>
          </w:p>
          <w:p w:rsidR="00740EA0" w:rsidRDefault="00740EA0" w:rsidP="001F43FD">
            <w:r>
              <w:t>1.47 pts Dual Magnum</w:t>
            </w:r>
          </w:p>
        </w:tc>
      </w:tr>
      <w:tr w:rsidR="00740EA0" w:rsidTr="001F43FD">
        <w:tc>
          <w:tcPr>
            <w:tcW w:w="1165" w:type="dxa"/>
          </w:tcPr>
          <w:p w:rsidR="00740EA0" w:rsidRDefault="00740EA0" w:rsidP="00702C96">
            <w:pPr>
              <w:jc w:val="center"/>
            </w:pPr>
            <w:r>
              <w:t>7</w:t>
            </w:r>
          </w:p>
        </w:tc>
        <w:tc>
          <w:tcPr>
            <w:tcW w:w="3509" w:type="dxa"/>
          </w:tcPr>
          <w:p w:rsidR="00740EA0" w:rsidRDefault="00740EA0" w:rsidP="001F43FD">
            <w:r w:rsidRPr="004640B6">
              <w:t>1.25 pts Boundary</w:t>
            </w:r>
          </w:p>
        </w:tc>
        <w:tc>
          <w:tcPr>
            <w:tcW w:w="2338" w:type="dxa"/>
          </w:tcPr>
          <w:p w:rsidR="00740EA0" w:rsidRDefault="00740EA0" w:rsidP="001F43FD">
            <w:r w:rsidRPr="004640B6">
              <w:t>(s-metolachlor + metribuzin)</w:t>
            </w:r>
          </w:p>
        </w:tc>
        <w:tc>
          <w:tcPr>
            <w:tcW w:w="3063" w:type="dxa"/>
          </w:tcPr>
          <w:p w:rsidR="00740EA0" w:rsidRDefault="00740EA0" w:rsidP="001F43FD">
            <w:r>
              <w:t>.82 pints Dual Magnum</w:t>
            </w:r>
          </w:p>
          <w:p w:rsidR="00740EA0" w:rsidRDefault="00740EA0" w:rsidP="001F43FD">
            <w:r>
              <w:t>4.2 ozs Metribuzin 75DF</w:t>
            </w:r>
          </w:p>
        </w:tc>
      </w:tr>
      <w:tr w:rsidR="00740EA0" w:rsidTr="001F43FD">
        <w:tc>
          <w:tcPr>
            <w:tcW w:w="1165" w:type="dxa"/>
          </w:tcPr>
          <w:p w:rsidR="00740EA0" w:rsidRDefault="00740EA0" w:rsidP="00702C96">
            <w:pPr>
              <w:jc w:val="center"/>
            </w:pPr>
            <w:r>
              <w:t>8</w:t>
            </w:r>
          </w:p>
        </w:tc>
        <w:tc>
          <w:tcPr>
            <w:tcW w:w="3509" w:type="dxa"/>
          </w:tcPr>
          <w:p w:rsidR="00740EA0" w:rsidRDefault="00740EA0" w:rsidP="001F43FD">
            <w:r>
              <w:t>4 oz Dimetric</w:t>
            </w:r>
          </w:p>
        </w:tc>
        <w:tc>
          <w:tcPr>
            <w:tcW w:w="2338" w:type="dxa"/>
          </w:tcPr>
          <w:p w:rsidR="00740EA0" w:rsidRDefault="00740EA0" w:rsidP="001F43FD">
            <w:r>
              <w:t>(</w:t>
            </w:r>
            <w:r w:rsidRPr="004640B6">
              <w:t>metribuzin)</w:t>
            </w:r>
          </w:p>
        </w:tc>
        <w:tc>
          <w:tcPr>
            <w:tcW w:w="3063" w:type="dxa"/>
          </w:tcPr>
          <w:p w:rsidR="00740EA0" w:rsidRDefault="00740EA0" w:rsidP="001F43FD">
            <w:r>
              <w:t>4.0 ozs Metribuzin 75DF</w:t>
            </w:r>
          </w:p>
        </w:tc>
      </w:tr>
      <w:tr w:rsidR="00740EA0" w:rsidTr="001F43FD">
        <w:tc>
          <w:tcPr>
            <w:tcW w:w="1165" w:type="dxa"/>
          </w:tcPr>
          <w:p w:rsidR="00740EA0" w:rsidRDefault="00740EA0" w:rsidP="00702C96">
            <w:pPr>
              <w:jc w:val="center"/>
            </w:pPr>
            <w:r>
              <w:t>9</w:t>
            </w:r>
          </w:p>
        </w:tc>
        <w:tc>
          <w:tcPr>
            <w:tcW w:w="3509" w:type="dxa"/>
          </w:tcPr>
          <w:p w:rsidR="00740EA0" w:rsidRDefault="00740EA0" w:rsidP="001F43FD">
            <w:r w:rsidRPr="00753B7E">
              <w:t>1.5 pts Prowl H2O</w:t>
            </w:r>
          </w:p>
        </w:tc>
        <w:tc>
          <w:tcPr>
            <w:tcW w:w="2338" w:type="dxa"/>
          </w:tcPr>
          <w:p w:rsidR="00740EA0" w:rsidRDefault="00740EA0" w:rsidP="001F43FD">
            <w:r w:rsidRPr="00753B7E">
              <w:t>Pendimethalin</w:t>
            </w:r>
          </w:p>
        </w:tc>
        <w:tc>
          <w:tcPr>
            <w:tcW w:w="3063" w:type="dxa"/>
          </w:tcPr>
          <w:p w:rsidR="00740EA0" w:rsidRDefault="00740EA0" w:rsidP="001F43FD">
            <w:r w:rsidRPr="00753B7E">
              <w:t>1.5 pts Prowl H2O</w:t>
            </w:r>
          </w:p>
        </w:tc>
      </w:tr>
      <w:tr w:rsidR="00740EA0" w:rsidTr="001F43FD">
        <w:tc>
          <w:tcPr>
            <w:tcW w:w="1165" w:type="dxa"/>
          </w:tcPr>
          <w:p w:rsidR="00740EA0" w:rsidRDefault="00740EA0" w:rsidP="00702C96">
            <w:pPr>
              <w:jc w:val="center"/>
            </w:pPr>
            <w:r>
              <w:t>10</w:t>
            </w:r>
          </w:p>
        </w:tc>
        <w:tc>
          <w:tcPr>
            <w:tcW w:w="3509" w:type="dxa"/>
          </w:tcPr>
          <w:p w:rsidR="00740EA0" w:rsidRDefault="00740EA0" w:rsidP="001F43FD">
            <w:r w:rsidRPr="0021269F">
              <w:t>3.75 oz Fierce</w:t>
            </w:r>
          </w:p>
        </w:tc>
        <w:tc>
          <w:tcPr>
            <w:tcW w:w="2338" w:type="dxa"/>
          </w:tcPr>
          <w:p w:rsidR="00740EA0" w:rsidRDefault="00740EA0" w:rsidP="001F43FD">
            <w:r w:rsidRPr="0021269F">
              <w:t>(flumioxazin + pyroxasulfone)</w:t>
            </w:r>
          </w:p>
        </w:tc>
        <w:tc>
          <w:tcPr>
            <w:tcW w:w="3063" w:type="dxa"/>
          </w:tcPr>
          <w:p w:rsidR="00740EA0" w:rsidRDefault="00740EA0" w:rsidP="001F43FD">
            <w:r>
              <w:t xml:space="preserve">2.5 oz Valor SX </w:t>
            </w:r>
          </w:p>
          <w:p w:rsidR="00740EA0" w:rsidRDefault="00740EA0" w:rsidP="001F43FD">
            <w:r>
              <w:t>1.9 ozs Zidua</w:t>
            </w:r>
          </w:p>
        </w:tc>
      </w:tr>
      <w:tr w:rsidR="00740EA0" w:rsidTr="001F43FD">
        <w:tc>
          <w:tcPr>
            <w:tcW w:w="1165" w:type="dxa"/>
          </w:tcPr>
          <w:p w:rsidR="00740EA0" w:rsidRDefault="00740EA0" w:rsidP="00702C96">
            <w:pPr>
              <w:jc w:val="center"/>
            </w:pPr>
            <w:r>
              <w:t>11</w:t>
            </w:r>
          </w:p>
        </w:tc>
        <w:tc>
          <w:tcPr>
            <w:tcW w:w="3509" w:type="dxa"/>
          </w:tcPr>
          <w:p w:rsidR="00740EA0" w:rsidRDefault="00740EA0" w:rsidP="001F43FD">
            <w:r w:rsidRPr="0021269F">
              <w:t>4 oz Fierce XLT</w:t>
            </w:r>
          </w:p>
        </w:tc>
        <w:tc>
          <w:tcPr>
            <w:tcW w:w="2338" w:type="dxa"/>
          </w:tcPr>
          <w:p w:rsidR="00740EA0" w:rsidRDefault="00740EA0" w:rsidP="001F43FD">
            <w:r w:rsidRPr="0021269F">
              <w:t>(flumioxazin + pyroxasulfone + chlorimuron)</w:t>
            </w:r>
          </w:p>
        </w:tc>
        <w:tc>
          <w:tcPr>
            <w:tcW w:w="3063" w:type="dxa"/>
          </w:tcPr>
          <w:p w:rsidR="00740EA0" w:rsidRDefault="00740EA0" w:rsidP="001F43FD">
            <w:r>
              <w:t xml:space="preserve">1.91 oz Valor SX </w:t>
            </w:r>
          </w:p>
          <w:p w:rsidR="00740EA0" w:rsidRDefault="00740EA0" w:rsidP="001F43FD">
            <w:r>
              <w:t>1.49 ozs Zidua</w:t>
            </w:r>
          </w:p>
          <w:p w:rsidR="00740EA0" w:rsidRDefault="00740EA0" w:rsidP="001F43FD">
            <w:r>
              <w:t>1.06 oz Classic</w:t>
            </w:r>
          </w:p>
        </w:tc>
      </w:tr>
      <w:tr w:rsidR="00740EA0" w:rsidTr="001F43FD">
        <w:tc>
          <w:tcPr>
            <w:tcW w:w="1165" w:type="dxa"/>
          </w:tcPr>
          <w:p w:rsidR="00740EA0" w:rsidRDefault="00740EA0" w:rsidP="00702C96">
            <w:pPr>
              <w:jc w:val="center"/>
            </w:pPr>
            <w:r>
              <w:t>12</w:t>
            </w:r>
          </w:p>
        </w:tc>
        <w:tc>
          <w:tcPr>
            <w:tcW w:w="3509" w:type="dxa"/>
          </w:tcPr>
          <w:p w:rsidR="00740EA0" w:rsidRDefault="00740EA0" w:rsidP="001F43FD">
            <w:r w:rsidRPr="00753B7E">
              <w:t>25 oz BroadAxe XC</w:t>
            </w:r>
          </w:p>
          <w:p w:rsidR="00740EA0" w:rsidRDefault="00740EA0" w:rsidP="001F43FD">
            <w:r>
              <w:t>(1.33 pts Dual 21 Days Post)</w:t>
            </w:r>
          </w:p>
        </w:tc>
        <w:tc>
          <w:tcPr>
            <w:tcW w:w="2338" w:type="dxa"/>
          </w:tcPr>
          <w:p w:rsidR="00740EA0" w:rsidRDefault="00740EA0" w:rsidP="001F43FD">
            <w:r w:rsidRPr="00753B7E">
              <w:t>(sulfentrazone + s-metolachlor)</w:t>
            </w:r>
          </w:p>
        </w:tc>
        <w:tc>
          <w:tcPr>
            <w:tcW w:w="3063" w:type="dxa"/>
          </w:tcPr>
          <w:p w:rsidR="00740EA0" w:rsidRDefault="00740EA0" w:rsidP="001F43FD">
            <w:r w:rsidRPr="00753B7E">
              <w:t xml:space="preserve">5.5 oz Spartan </w:t>
            </w:r>
          </w:p>
          <w:p w:rsidR="00740EA0" w:rsidRDefault="00740EA0" w:rsidP="001F43FD">
            <w:r w:rsidRPr="00753B7E">
              <w:t>1.47 pts Dual Magnum</w:t>
            </w:r>
          </w:p>
        </w:tc>
      </w:tr>
      <w:tr w:rsidR="00740EA0" w:rsidTr="001F43FD">
        <w:tc>
          <w:tcPr>
            <w:tcW w:w="1165" w:type="dxa"/>
          </w:tcPr>
          <w:p w:rsidR="00740EA0" w:rsidRDefault="00740EA0" w:rsidP="00702C96">
            <w:pPr>
              <w:jc w:val="center"/>
            </w:pPr>
            <w:r>
              <w:t>13</w:t>
            </w:r>
          </w:p>
        </w:tc>
        <w:tc>
          <w:tcPr>
            <w:tcW w:w="3509" w:type="dxa"/>
          </w:tcPr>
          <w:p w:rsidR="00740EA0" w:rsidRDefault="00740EA0" w:rsidP="001F43FD">
            <w:r w:rsidRPr="00753B7E">
              <w:t>3.75 oz Fierce</w:t>
            </w:r>
          </w:p>
          <w:p w:rsidR="00740EA0" w:rsidRDefault="00740EA0" w:rsidP="001F43FD">
            <w:r>
              <w:t>(1.33 pts Dual 21 Days Post)</w:t>
            </w:r>
          </w:p>
        </w:tc>
        <w:tc>
          <w:tcPr>
            <w:tcW w:w="2338" w:type="dxa"/>
          </w:tcPr>
          <w:p w:rsidR="00740EA0" w:rsidRDefault="00740EA0" w:rsidP="001F43FD">
            <w:r w:rsidRPr="00753B7E">
              <w:t>(flumioxazin + pyroxasulfone)</w:t>
            </w:r>
          </w:p>
        </w:tc>
        <w:tc>
          <w:tcPr>
            <w:tcW w:w="3063" w:type="dxa"/>
          </w:tcPr>
          <w:p w:rsidR="00740EA0" w:rsidRDefault="00740EA0" w:rsidP="001F43FD">
            <w:r>
              <w:t xml:space="preserve">2.5 oz Valor SX </w:t>
            </w:r>
          </w:p>
          <w:p w:rsidR="00740EA0" w:rsidRDefault="00740EA0" w:rsidP="001F43FD">
            <w:r>
              <w:t>1.9 ozs Zidua</w:t>
            </w:r>
          </w:p>
        </w:tc>
      </w:tr>
      <w:tr w:rsidR="00740EA0" w:rsidTr="001F43FD">
        <w:tc>
          <w:tcPr>
            <w:tcW w:w="1165" w:type="dxa"/>
          </w:tcPr>
          <w:p w:rsidR="00740EA0" w:rsidRDefault="00740EA0" w:rsidP="00702C96">
            <w:pPr>
              <w:jc w:val="center"/>
            </w:pPr>
            <w:r>
              <w:t>14</w:t>
            </w:r>
          </w:p>
        </w:tc>
        <w:tc>
          <w:tcPr>
            <w:tcW w:w="3509" w:type="dxa"/>
          </w:tcPr>
          <w:p w:rsidR="00740EA0" w:rsidRDefault="00740EA0" w:rsidP="001F43FD">
            <w:r w:rsidRPr="00753B7E">
              <w:t>1.25 pts Boundary Pre</w:t>
            </w:r>
          </w:p>
          <w:p w:rsidR="00740EA0" w:rsidRDefault="00740EA0" w:rsidP="001F43FD">
            <w:r>
              <w:t>(1.33 pts Dual 21 Days Post)</w:t>
            </w:r>
          </w:p>
        </w:tc>
        <w:tc>
          <w:tcPr>
            <w:tcW w:w="2338" w:type="dxa"/>
          </w:tcPr>
          <w:p w:rsidR="00740EA0" w:rsidRDefault="00740EA0" w:rsidP="001F43FD">
            <w:r w:rsidRPr="00753B7E">
              <w:t>(s-metolachlor + metribuzin)</w:t>
            </w:r>
          </w:p>
        </w:tc>
        <w:tc>
          <w:tcPr>
            <w:tcW w:w="3063" w:type="dxa"/>
          </w:tcPr>
          <w:p w:rsidR="00740EA0" w:rsidRDefault="00740EA0" w:rsidP="001F43FD">
            <w:r>
              <w:t>.82 pints Dual Magnum</w:t>
            </w:r>
          </w:p>
          <w:p w:rsidR="00740EA0" w:rsidRDefault="00740EA0" w:rsidP="001F43FD">
            <w:r>
              <w:t>4.2 ozs Metribuzin 75DF</w:t>
            </w:r>
          </w:p>
        </w:tc>
      </w:tr>
      <w:tr w:rsidR="00740EA0" w:rsidTr="001F43FD">
        <w:tc>
          <w:tcPr>
            <w:tcW w:w="1165" w:type="dxa"/>
          </w:tcPr>
          <w:p w:rsidR="00740EA0" w:rsidRDefault="00740EA0" w:rsidP="00702C96">
            <w:pPr>
              <w:jc w:val="center"/>
            </w:pPr>
            <w:r>
              <w:t>15</w:t>
            </w:r>
          </w:p>
        </w:tc>
        <w:tc>
          <w:tcPr>
            <w:tcW w:w="3509" w:type="dxa"/>
          </w:tcPr>
          <w:p w:rsidR="00740EA0" w:rsidRDefault="00740EA0" w:rsidP="001F43FD">
            <w:r w:rsidRPr="00753B7E">
              <w:t>1.5 pts Prowl H2O + 4 oz Dimetric</w:t>
            </w:r>
          </w:p>
          <w:p w:rsidR="00740EA0" w:rsidRDefault="00740EA0" w:rsidP="001F43FD">
            <w:r>
              <w:t>(1.33 pts Dual 21 Days Post)</w:t>
            </w:r>
          </w:p>
        </w:tc>
        <w:tc>
          <w:tcPr>
            <w:tcW w:w="2338" w:type="dxa"/>
          </w:tcPr>
          <w:p w:rsidR="00740EA0" w:rsidRDefault="00740EA0" w:rsidP="001F43FD">
            <w:r w:rsidRPr="00753B7E">
              <w:t>(pendimethalin + metribuzin)</w:t>
            </w:r>
          </w:p>
        </w:tc>
        <w:tc>
          <w:tcPr>
            <w:tcW w:w="3063" w:type="dxa"/>
          </w:tcPr>
          <w:p w:rsidR="00740EA0" w:rsidRDefault="00740EA0" w:rsidP="001F43FD">
            <w:r>
              <w:t>1.5 pints Prowl H2O</w:t>
            </w:r>
          </w:p>
          <w:p w:rsidR="00740EA0" w:rsidRDefault="00740EA0" w:rsidP="001F43FD">
            <w:r>
              <w:t>4 ozs Metribuzin 75DF</w:t>
            </w:r>
          </w:p>
        </w:tc>
      </w:tr>
    </w:tbl>
    <w:p w:rsidR="00740EA0" w:rsidRDefault="00740EA0"/>
    <w:p w:rsidR="00740EA0" w:rsidRDefault="00740EA0"/>
    <w:p w:rsidR="002F6188" w:rsidRPr="00D97B14" w:rsidRDefault="002F6188" w:rsidP="00740EA0">
      <w:pPr>
        <w:rPr>
          <w:sz w:val="24"/>
        </w:rPr>
      </w:pPr>
      <w:r w:rsidRPr="00D97B14">
        <w:rPr>
          <w:sz w:val="24"/>
        </w:rPr>
        <w:t>R</w:t>
      </w:r>
      <w:r w:rsidR="00740EA0" w:rsidRPr="00D97B14">
        <w:rPr>
          <w:sz w:val="24"/>
        </w:rPr>
        <w:t>esults</w:t>
      </w:r>
      <w:r w:rsidRPr="00D97B14">
        <w:rPr>
          <w:sz w:val="24"/>
        </w:rPr>
        <w:t xml:space="preserve"> from the 2017 trial are</w:t>
      </w:r>
      <w:r w:rsidR="00740EA0" w:rsidRPr="00D97B14">
        <w:rPr>
          <w:sz w:val="24"/>
        </w:rPr>
        <w:t xml:space="preserve"> consistent with findings in 2015 and 2016. </w:t>
      </w:r>
      <w:r w:rsidRPr="00D97B14">
        <w:rPr>
          <w:sz w:val="24"/>
        </w:rPr>
        <w:t>The</w:t>
      </w:r>
      <w:r w:rsidR="00740EA0" w:rsidRPr="00D97B14">
        <w:rPr>
          <w:sz w:val="24"/>
        </w:rPr>
        <w:t xml:space="preserve"> trials indicate significantly better control of </w:t>
      </w:r>
      <w:r w:rsidR="00702C96">
        <w:rPr>
          <w:sz w:val="24"/>
        </w:rPr>
        <w:t>Palmer</w:t>
      </w:r>
      <w:r w:rsidR="00740EA0" w:rsidRPr="00D97B14">
        <w:rPr>
          <w:sz w:val="24"/>
        </w:rPr>
        <w:t xml:space="preserve"> amaranth with the use of any residual product when compared to a non-treated control. Prowl, </w:t>
      </w:r>
      <w:r w:rsidR="003B4F97">
        <w:rPr>
          <w:sz w:val="24"/>
        </w:rPr>
        <w:t>Dimetric</w:t>
      </w:r>
      <w:r w:rsidR="00740EA0" w:rsidRPr="00D97B14">
        <w:rPr>
          <w:sz w:val="24"/>
        </w:rPr>
        <w:t xml:space="preserve">, and Prowl plus </w:t>
      </w:r>
      <w:r w:rsidR="003B4F97">
        <w:rPr>
          <w:sz w:val="24"/>
        </w:rPr>
        <w:t>Dimetric</w:t>
      </w:r>
      <w:r w:rsidR="00740EA0" w:rsidRPr="00D97B14">
        <w:rPr>
          <w:sz w:val="24"/>
        </w:rPr>
        <w:t xml:space="preserve"> provided 1-2 weeks of control, Boundary and Canopy provided 2-3 weeks of control and Fierce, Fierce XLT, Authority</w:t>
      </w:r>
      <w:r w:rsidR="00EE5EC8">
        <w:rPr>
          <w:sz w:val="24"/>
        </w:rPr>
        <w:t xml:space="preserve"> XL</w:t>
      </w:r>
      <w:r w:rsidR="00740EA0" w:rsidRPr="00D97B14">
        <w:rPr>
          <w:sz w:val="24"/>
        </w:rPr>
        <w:t>, and BroadAxe</w:t>
      </w:r>
      <w:r w:rsidR="00EE5EC8">
        <w:rPr>
          <w:sz w:val="24"/>
        </w:rPr>
        <w:t xml:space="preserve"> XC</w:t>
      </w:r>
      <w:r w:rsidR="00740EA0" w:rsidRPr="00D97B14">
        <w:rPr>
          <w:sz w:val="24"/>
        </w:rPr>
        <w:t xml:space="preserve"> provided 3-5 weeks of control. </w:t>
      </w:r>
      <w:r w:rsidRPr="00D97B14">
        <w:rPr>
          <w:sz w:val="24"/>
        </w:rPr>
        <w:t>The trial did not show significant differences between treatments that received an additional post-emergence application</w:t>
      </w:r>
      <w:r w:rsidR="00740EA0" w:rsidRPr="00D97B14">
        <w:rPr>
          <w:sz w:val="24"/>
        </w:rPr>
        <w:t xml:space="preserve"> of</w:t>
      </w:r>
      <w:r w:rsidRPr="00D97B14">
        <w:rPr>
          <w:sz w:val="24"/>
        </w:rPr>
        <w:t xml:space="preserve"> the residual herbicide</w:t>
      </w:r>
      <w:r w:rsidR="00740EA0" w:rsidRPr="00D97B14">
        <w:rPr>
          <w:sz w:val="24"/>
        </w:rPr>
        <w:t xml:space="preserve"> Dual</w:t>
      </w:r>
      <w:r w:rsidRPr="00D97B14">
        <w:rPr>
          <w:sz w:val="24"/>
        </w:rPr>
        <w:t xml:space="preserve">. </w:t>
      </w:r>
      <w:r w:rsidR="00740EA0" w:rsidRPr="00D97B14">
        <w:rPr>
          <w:sz w:val="24"/>
        </w:rPr>
        <w:t xml:space="preserve"> </w:t>
      </w:r>
      <w:r w:rsidR="0087525D" w:rsidRPr="00D97B14">
        <w:rPr>
          <w:sz w:val="24"/>
        </w:rPr>
        <w:t xml:space="preserve">Results are shown in </w:t>
      </w:r>
      <w:r w:rsidR="00EE5EC8">
        <w:rPr>
          <w:sz w:val="24"/>
        </w:rPr>
        <w:t>Figures 1 and</w:t>
      </w:r>
      <w:r w:rsidR="0087525D" w:rsidRPr="00D97B14">
        <w:rPr>
          <w:sz w:val="24"/>
        </w:rPr>
        <w:t xml:space="preserve"> </w:t>
      </w:r>
      <w:r w:rsidR="00EE5EC8">
        <w:rPr>
          <w:sz w:val="24"/>
        </w:rPr>
        <w:t>2</w:t>
      </w:r>
      <w:r w:rsidR="0087525D" w:rsidRPr="00D97B14">
        <w:rPr>
          <w:sz w:val="24"/>
        </w:rPr>
        <w:t>.</w:t>
      </w:r>
    </w:p>
    <w:p w:rsidR="002F6188" w:rsidRPr="00D97B14" w:rsidRDefault="002F6188" w:rsidP="00740EA0">
      <w:pPr>
        <w:rPr>
          <w:sz w:val="24"/>
        </w:rPr>
      </w:pPr>
    </w:p>
    <w:p w:rsidR="00233EB3" w:rsidRPr="00D97B14" w:rsidRDefault="00740EA0" w:rsidP="00740EA0">
      <w:pPr>
        <w:rPr>
          <w:sz w:val="24"/>
        </w:rPr>
      </w:pPr>
      <w:r w:rsidRPr="00D97B14">
        <w:rPr>
          <w:sz w:val="24"/>
        </w:rPr>
        <w:t xml:space="preserve">The use of residual products also provided a longer time-frame for the timely and thus effective application of post-emergent herbicides. </w:t>
      </w:r>
      <w:r w:rsidR="002F6188" w:rsidRPr="00D97B14">
        <w:rPr>
          <w:sz w:val="24"/>
        </w:rPr>
        <w:t>T</w:t>
      </w:r>
      <w:r w:rsidR="00702C96">
        <w:rPr>
          <w:sz w:val="24"/>
        </w:rPr>
        <w:t>he trials show that a po</w:t>
      </w:r>
      <w:r w:rsidR="002F6188" w:rsidRPr="00D97B14">
        <w:rPr>
          <w:sz w:val="24"/>
        </w:rPr>
        <w:t xml:space="preserve">st-emergent </w:t>
      </w:r>
      <w:r w:rsidR="00702C96">
        <w:rPr>
          <w:sz w:val="24"/>
        </w:rPr>
        <w:t>herbicide treatment</w:t>
      </w:r>
      <w:r w:rsidR="002F6188" w:rsidRPr="00D97B14">
        <w:rPr>
          <w:sz w:val="24"/>
        </w:rPr>
        <w:t xml:space="preserve"> needs to be applied within 28 days of planting to achieve reliable control. Waiting beyond 28 days will result in emerged </w:t>
      </w:r>
      <w:r w:rsidR="00702C96">
        <w:rPr>
          <w:sz w:val="24"/>
        </w:rPr>
        <w:t>Palmer</w:t>
      </w:r>
      <w:r w:rsidR="002F6188" w:rsidRPr="00D97B14">
        <w:rPr>
          <w:sz w:val="24"/>
        </w:rPr>
        <w:t xml:space="preserve"> amaranth plants that are larger than the 3-4 inch height </w:t>
      </w:r>
      <w:r w:rsidR="00EE5EC8">
        <w:rPr>
          <w:sz w:val="24"/>
        </w:rPr>
        <w:t>limit for post-</w:t>
      </w:r>
      <w:r w:rsidR="00A336BD">
        <w:rPr>
          <w:sz w:val="24"/>
        </w:rPr>
        <w:t>emergent</w:t>
      </w:r>
      <w:r w:rsidR="00EE5EC8">
        <w:rPr>
          <w:sz w:val="24"/>
        </w:rPr>
        <w:t xml:space="preserve"> herbicides</w:t>
      </w:r>
      <w:r w:rsidR="002F6188" w:rsidRPr="00D97B14">
        <w:rPr>
          <w:sz w:val="24"/>
        </w:rPr>
        <w:t xml:space="preserve">. If no residual herbicide is used, the </w:t>
      </w:r>
      <w:r w:rsidR="00702C96">
        <w:rPr>
          <w:sz w:val="24"/>
        </w:rPr>
        <w:t>post-</w:t>
      </w:r>
      <w:r w:rsidR="00702C96" w:rsidRPr="00D97B14">
        <w:rPr>
          <w:sz w:val="24"/>
        </w:rPr>
        <w:t>emergent</w:t>
      </w:r>
      <w:r w:rsidR="002F6188" w:rsidRPr="00D97B14">
        <w:rPr>
          <w:sz w:val="24"/>
        </w:rPr>
        <w:t xml:space="preserve"> treatments need to be applied within 14 days, and season long control is very unlikely. </w:t>
      </w:r>
    </w:p>
    <w:p w:rsidR="00233EB3" w:rsidRDefault="00233EB3" w:rsidP="00740EA0"/>
    <w:p w:rsidR="00233EB3" w:rsidRDefault="00233EB3" w:rsidP="00740EA0">
      <w:r w:rsidRPr="00233EB3">
        <w:rPr>
          <w:noProof/>
        </w:rPr>
        <w:lastRenderedPageBreak/>
        <w:drawing>
          <wp:anchor distT="0" distB="0" distL="114300" distR="114300" simplePos="0" relativeHeight="251659264" behindDoc="1" locked="0" layoutInCell="1" allowOverlap="1">
            <wp:simplePos x="0" y="0"/>
            <wp:positionH relativeFrom="column">
              <wp:posOffset>-200025</wp:posOffset>
            </wp:positionH>
            <wp:positionV relativeFrom="paragraph">
              <wp:posOffset>4473575</wp:posOffset>
            </wp:positionV>
            <wp:extent cx="7200900" cy="4657725"/>
            <wp:effectExtent l="0" t="0" r="0" b="9525"/>
            <wp:wrapTight wrapText="bothSides">
              <wp:wrapPolygon edited="0">
                <wp:start x="0" y="0"/>
                <wp:lineTo x="0" y="21556"/>
                <wp:lineTo x="21543" y="21556"/>
                <wp:lineTo x="21543"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Pr="00233EB3">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7229475" cy="4200525"/>
            <wp:effectExtent l="0" t="0" r="9525" b="9525"/>
            <wp:wrapTight wrapText="bothSides">
              <wp:wrapPolygon edited="0">
                <wp:start x="0" y="0"/>
                <wp:lineTo x="0" y="21551"/>
                <wp:lineTo x="21572" y="21551"/>
                <wp:lineTo x="21572"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6A7D80" w:rsidRPr="00D97B14" w:rsidRDefault="002E6AA4">
      <w:pPr>
        <w:rPr>
          <w:b/>
          <w:sz w:val="24"/>
          <w:u w:val="single"/>
        </w:rPr>
      </w:pPr>
      <w:r w:rsidRPr="00D97B14">
        <w:rPr>
          <w:b/>
          <w:sz w:val="24"/>
          <w:u w:val="single"/>
        </w:rPr>
        <w:lastRenderedPageBreak/>
        <w:t>Common Ragweed Trials</w:t>
      </w:r>
    </w:p>
    <w:p w:rsidR="000D1978" w:rsidRPr="00D97B14" w:rsidRDefault="000D1978">
      <w:pPr>
        <w:rPr>
          <w:sz w:val="24"/>
        </w:rPr>
      </w:pPr>
      <w:r w:rsidRPr="00D97B14">
        <w:rPr>
          <w:sz w:val="24"/>
        </w:rPr>
        <w:t>An</w:t>
      </w:r>
      <w:r w:rsidR="00740EA0" w:rsidRPr="00D97B14">
        <w:rPr>
          <w:sz w:val="24"/>
        </w:rPr>
        <w:t xml:space="preserve"> herbicide</w:t>
      </w:r>
      <w:r w:rsidRPr="00D97B14">
        <w:rPr>
          <w:sz w:val="24"/>
        </w:rPr>
        <w:t xml:space="preserve"> trial for </w:t>
      </w:r>
      <w:r w:rsidR="00EE5EC8">
        <w:rPr>
          <w:sz w:val="24"/>
        </w:rPr>
        <w:t xml:space="preserve">evaluating </w:t>
      </w:r>
      <w:r w:rsidRPr="00D97B14">
        <w:rPr>
          <w:sz w:val="24"/>
        </w:rPr>
        <w:t xml:space="preserve">residual </w:t>
      </w:r>
      <w:r w:rsidR="00EE5EC8">
        <w:rPr>
          <w:sz w:val="24"/>
        </w:rPr>
        <w:t xml:space="preserve">pre-emergent herbicides for </w:t>
      </w:r>
      <w:r w:rsidRPr="00D97B14">
        <w:rPr>
          <w:sz w:val="24"/>
        </w:rPr>
        <w:t xml:space="preserve">control of common ragweed </w:t>
      </w:r>
      <w:r w:rsidR="007D0641" w:rsidRPr="00D97B14">
        <w:rPr>
          <w:sz w:val="24"/>
        </w:rPr>
        <w:t>was established near the town of Chaptico</w:t>
      </w:r>
      <w:r w:rsidRPr="00D97B14">
        <w:rPr>
          <w:sz w:val="24"/>
        </w:rPr>
        <w:t xml:space="preserve"> in St. Mary’s County. </w:t>
      </w:r>
      <w:r w:rsidR="00B9480E" w:rsidRPr="00D97B14">
        <w:rPr>
          <w:sz w:val="24"/>
        </w:rPr>
        <w:t xml:space="preserve"> </w:t>
      </w:r>
      <w:r w:rsidRPr="00D97B14">
        <w:rPr>
          <w:sz w:val="24"/>
        </w:rPr>
        <w:t xml:space="preserve">The trial was </w:t>
      </w:r>
      <w:r w:rsidR="00EE5EC8">
        <w:rPr>
          <w:sz w:val="24"/>
        </w:rPr>
        <w:t xml:space="preserve">conducted </w:t>
      </w:r>
      <w:r w:rsidRPr="00D97B14">
        <w:rPr>
          <w:sz w:val="24"/>
        </w:rPr>
        <w:t xml:space="preserve">at a location with a heavy infestation of ALS and Glyphosate resistant common ragweed the previous year. </w:t>
      </w:r>
      <w:r w:rsidR="00F4675B" w:rsidRPr="00D97B14">
        <w:rPr>
          <w:sz w:val="24"/>
        </w:rPr>
        <w:t xml:space="preserve">Seven treatments with potential activity on common ragweed were evaluated including the herbicides Linex, Command, </w:t>
      </w:r>
      <w:r w:rsidR="003B4F97">
        <w:rPr>
          <w:sz w:val="24"/>
        </w:rPr>
        <w:t>Dimetric</w:t>
      </w:r>
      <w:r w:rsidR="00F4675B" w:rsidRPr="00D97B14">
        <w:rPr>
          <w:sz w:val="24"/>
        </w:rPr>
        <w:t xml:space="preserve">, Valor, and combinations thereof, as illustrated in Table 2.  </w:t>
      </w:r>
      <w:r w:rsidR="001A64B3" w:rsidRPr="00D97B14">
        <w:rPr>
          <w:sz w:val="24"/>
        </w:rPr>
        <w:t>The trial utilized a complete block randomized design with four replications. The plo</w:t>
      </w:r>
      <w:r w:rsidR="005E02D6" w:rsidRPr="00D97B14">
        <w:rPr>
          <w:sz w:val="24"/>
        </w:rPr>
        <w:t>t treatment area consisted of 6</w:t>
      </w:r>
      <w:r w:rsidR="00702C96">
        <w:rPr>
          <w:sz w:val="24"/>
        </w:rPr>
        <w:t xml:space="preserve"> </w:t>
      </w:r>
      <w:r w:rsidR="001A64B3" w:rsidRPr="00D97B14">
        <w:rPr>
          <w:sz w:val="24"/>
        </w:rPr>
        <w:t>rows</w:t>
      </w:r>
      <w:r w:rsidR="00702C96">
        <w:rPr>
          <w:sz w:val="24"/>
        </w:rPr>
        <w:t xml:space="preserve"> 30 inches wide</w:t>
      </w:r>
      <w:r w:rsidR="001A64B3" w:rsidRPr="00D97B14">
        <w:rPr>
          <w:sz w:val="24"/>
        </w:rPr>
        <w:t xml:space="preserve"> (15 feet) by 30 feet long.  </w:t>
      </w:r>
      <w:r w:rsidR="00702C96">
        <w:rPr>
          <w:sz w:val="24"/>
        </w:rPr>
        <w:t>C</w:t>
      </w:r>
      <w:r w:rsidR="001A64B3" w:rsidRPr="00D97B14">
        <w:rPr>
          <w:sz w:val="24"/>
        </w:rPr>
        <w:t xml:space="preserve">ounts of </w:t>
      </w:r>
      <w:r w:rsidR="00F4675B" w:rsidRPr="00D97B14">
        <w:rPr>
          <w:sz w:val="24"/>
        </w:rPr>
        <w:t>common ragweed were taken from the middle 2</w:t>
      </w:r>
      <w:r w:rsidR="00702C96">
        <w:rPr>
          <w:sz w:val="24"/>
        </w:rPr>
        <w:t xml:space="preserve"> rows of each plot </w:t>
      </w:r>
      <w:r w:rsidR="001A64B3" w:rsidRPr="00D97B14">
        <w:rPr>
          <w:sz w:val="24"/>
        </w:rPr>
        <w:t xml:space="preserve">which represented an actual area of 150 square feet (5 feet by 30 feet). The number of emerged </w:t>
      </w:r>
      <w:r w:rsidR="00F4675B" w:rsidRPr="00D97B14">
        <w:rPr>
          <w:sz w:val="24"/>
        </w:rPr>
        <w:t>common ragweed</w:t>
      </w:r>
      <w:r w:rsidR="001A64B3" w:rsidRPr="00D97B14">
        <w:rPr>
          <w:sz w:val="24"/>
        </w:rPr>
        <w:t xml:space="preserve"> plants was recorded f</w:t>
      </w:r>
      <w:r w:rsidR="00F7399E" w:rsidRPr="00D97B14">
        <w:rPr>
          <w:sz w:val="24"/>
        </w:rPr>
        <w:t>rom individual plots starting 14</w:t>
      </w:r>
      <w:r w:rsidR="001A64B3" w:rsidRPr="00D97B14">
        <w:rPr>
          <w:sz w:val="24"/>
        </w:rPr>
        <w:t xml:space="preserve"> days after treatment and every 7 days thereafter. The average height of the five tallest </w:t>
      </w:r>
      <w:r w:rsidR="00F4675B" w:rsidRPr="00D97B14">
        <w:rPr>
          <w:sz w:val="24"/>
        </w:rPr>
        <w:t>ragweed</w:t>
      </w:r>
      <w:r w:rsidR="001A64B3" w:rsidRPr="00D97B14">
        <w:rPr>
          <w:sz w:val="24"/>
        </w:rPr>
        <w:t xml:space="preserve"> plants in each plot was also recorded.  Data was analyzed using an ANOVA and t-test for significant differences at the 0.05 confidence level.</w:t>
      </w:r>
      <w:r w:rsidR="00740EA0" w:rsidRPr="00D97B14">
        <w:rPr>
          <w:sz w:val="24"/>
        </w:rPr>
        <w:t xml:space="preserve"> </w:t>
      </w:r>
    </w:p>
    <w:p w:rsidR="007D0641" w:rsidRPr="00D97B14" w:rsidRDefault="007D0641">
      <w:pPr>
        <w:rPr>
          <w:sz w:val="24"/>
        </w:rPr>
      </w:pPr>
    </w:p>
    <w:p w:rsidR="00F4675B" w:rsidRPr="00D97B14" w:rsidRDefault="00F4675B">
      <w:pPr>
        <w:rPr>
          <w:sz w:val="24"/>
        </w:rPr>
      </w:pPr>
      <w:r w:rsidRPr="00D97B14">
        <w:rPr>
          <w:sz w:val="24"/>
        </w:rPr>
        <w:t xml:space="preserve">The </w:t>
      </w:r>
      <w:r w:rsidR="00F7399E" w:rsidRPr="00D97B14">
        <w:rPr>
          <w:sz w:val="24"/>
        </w:rPr>
        <w:t>fiel</w:t>
      </w:r>
      <w:r w:rsidRPr="00D97B14">
        <w:rPr>
          <w:sz w:val="24"/>
        </w:rPr>
        <w:t xml:space="preserve">d was planted as full season soybeans on </w:t>
      </w:r>
      <w:r w:rsidR="00F7399E" w:rsidRPr="00D97B14">
        <w:rPr>
          <w:sz w:val="24"/>
        </w:rPr>
        <w:t>June</w:t>
      </w:r>
      <w:r w:rsidRPr="00D97B14">
        <w:rPr>
          <w:sz w:val="24"/>
        </w:rPr>
        <w:t xml:space="preserve"> </w:t>
      </w:r>
      <w:r w:rsidR="00EE5EC8" w:rsidRPr="00D97B14">
        <w:rPr>
          <w:sz w:val="24"/>
        </w:rPr>
        <w:t>9</w:t>
      </w:r>
      <w:r w:rsidR="00EE5EC8" w:rsidRPr="00EE5EC8">
        <w:rPr>
          <w:sz w:val="24"/>
          <w:vertAlign w:val="superscript"/>
        </w:rPr>
        <w:t>th</w:t>
      </w:r>
      <w:r w:rsidR="00EE5EC8">
        <w:rPr>
          <w:sz w:val="24"/>
        </w:rPr>
        <w:t xml:space="preserve"> </w:t>
      </w:r>
      <w:r w:rsidR="00EE5EC8" w:rsidRPr="00D97B14">
        <w:rPr>
          <w:sz w:val="24"/>
        </w:rPr>
        <w:t>using</w:t>
      </w:r>
      <w:r w:rsidRPr="00D97B14">
        <w:rPr>
          <w:sz w:val="24"/>
        </w:rPr>
        <w:t xml:space="preserve"> a no-till planter on 30 inch rows with Roundup Ready 2 Yield seed.</w:t>
      </w:r>
      <w:r w:rsidR="00F7399E" w:rsidRPr="00D97B14">
        <w:rPr>
          <w:sz w:val="24"/>
        </w:rPr>
        <w:t xml:space="preserve"> </w:t>
      </w:r>
      <w:r w:rsidR="00EE5EC8" w:rsidRPr="00D97B14">
        <w:rPr>
          <w:sz w:val="24"/>
        </w:rPr>
        <w:t xml:space="preserve">The soil type was Woodstown sandy loam. The preceding crop was full season soybeans with a heavy infestation of ALS and Glyphosate resistant common ragweed.   </w:t>
      </w:r>
      <w:r w:rsidR="00F7399E" w:rsidRPr="00D97B14">
        <w:rPr>
          <w:sz w:val="24"/>
        </w:rPr>
        <w:t xml:space="preserve">The cover crop was terminated </w:t>
      </w:r>
      <w:r w:rsidR="00EE5EC8">
        <w:rPr>
          <w:sz w:val="24"/>
        </w:rPr>
        <w:t xml:space="preserve">on </w:t>
      </w:r>
      <w:r w:rsidR="00F7399E" w:rsidRPr="00D97B14">
        <w:rPr>
          <w:sz w:val="24"/>
        </w:rPr>
        <w:t>April 15</w:t>
      </w:r>
      <w:r w:rsidR="00F7399E" w:rsidRPr="00D97B14">
        <w:rPr>
          <w:sz w:val="24"/>
          <w:vertAlign w:val="superscript"/>
        </w:rPr>
        <w:t>th</w:t>
      </w:r>
      <w:r w:rsidR="00F7399E" w:rsidRPr="00D97B14">
        <w:rPr>
          <w:sz w:val="24"/>
        </w:rPr>
        <w:t xml:space="preserve"> with an application 1 quart of glyphosate and 1 pint of 2,4-D. Gramoxone </w:t>
      </w:r>
      <w:r w:rsidR="00EE5EC8">
        <w:rPr>
          <w:sz w:val="24"/>
        </w:rPr>
        <w:t xml:space="preserve">SL </w:t>
      </w:r>
      <w:r w:rsidR="00F7399E" w:rsidRPr="00D97B14">
        <w:rPr>
          <w:sz w:val="24"/>
        </w:rPr>
        <w:t>was applied May 15</w:t>
      </w:r>
      <w:r w:rsidR="00F7399E" w:rsidRPr="00D97B14">
        <w:rPr>
          <w:sz w:val="24"/>
          <w:vertAlign w:val="superscript"/>
        </w:rPr>
        <w:t>th</w:t>
      </w:r>
      <w:r w:rsidR="00EE5EC8">
        <w:rPr>
          <w:sz w:val="24"/>
        </w:rPr>
        <w:t xml:space="preserve"> as a</w:t>
      </w:r>
      <w:r w:rsidR="00F7399E" w:rsidRPr="00D97B14">
        <w:rPr>
          <w:sz w:val="24"/>
        </w:rPr>
        <w:t xml:space="preserve"> final burndown before </w:t>
      </w:r>
      <w:r w:rsidR="00EE5EC8" w:rsidRPr="00D97B14">
        <w:rPr>
          <w:sz w:val="24"/>
        </w:rPr>
        <w:t>planting</w:t>
      </w:r>
      <w:r w:rsidR="00F7399E" w:rsidRPr="00D97B14">
        <w:rPr>
          <w:sz w:val="24"/>
        </w:rPr>
        <w:t>. Extended rains and wet soil conditions prevented planting until June. Gramoxone SL was applied again at 3 pints/acre on June 9</w:t>
      </w:r>
      <w:r w:rsidR="00F7399E" w:rsidRPr="00EE5EC8">
        <w:rPr>
          <w:sz w:val="24"/>
          <w:vertAlign w:val="superscript"/>
        </w:rPr>
        <w:t>th</w:t>
      </w:r>
      <w:r w:rsidR="00EE5EC8">
        <w:rPr>
          <w:sz w:val="24"/>
        </w:rPr>
        <w:t xml:space="preserve"> </w:t>
      </w:r>
      <w:r w:rsidR="00F7399E" w:rsidRPr="00D97B14">
        <w:rPr>
          <w:sz w:val="24"/>
        </w:rPr>
        <w:t>to terminate all existing vegetation and residual products were applied June 10</w:t>
      </w:r>
      <w:r w:rsidR="00F7399E" w:rsidRPr="00D97B14">
        <w:rPr>
          <w:sz w:val="24"/>
          <w:vertAlign w:val="superscript"/>
        </w:rPr>
        <w:t>th</w:t>
      </w:r>
      <w:r w:rsidR="00F7399E" w:rsidRPr="00D97B14">
        <w:rPr>
          <w:sz w:val="24"/>
        </w:rPr>
        <w:t xml:space="preserve">. </w:t>
      </w:r>
    </w:p>
    <w:p w:rsidR="00F7399E" w:rsidRPr="00D97B14" w:rsidRDefault="00F7399E">
      <w:pPr>
        <w:rPr>
          <w:sz w:val="24"/>
        </w:rPr>
      </w:pPr>
    </w:p>
    <w:p w:rsidR="00F7399E" w:rsidRDefault="00F7399E">
      <w:r w:rsidRPr="00D97B14">
        <w:rPr>
          <w:sz w:val="24"/>
        </w:rPr>
        <w:t xml:space="preserve">Results are presented in Figure 3. </w:t>
      </w:r>
      <w:r w:rsidR="005E02D6" w:rsidRPr="00D97B14">
        <w:rPr>
          <w:sz w:val="24"/>
        </w:rPr>
        <w:t xml:space="preserve">The trial indicates significantly better control of common ragweed with the use of any residual product when compared to a non-treated control. Treatments that utilized more than one effective mode of action provided better control then single mode of action treatments. Products containing the active ingredients linuron, metribuzin, and flumioxazin performed best. </w:t>
      </w:r>
      <w:r w:rsidR="00A64BA3" w:rsidRPr="00D97B14">
        <w:rPr>
          <w:sz w:val="24"/>
        </w:rPr>
        <w:t xml:space="preserve">Command (clomazone) performed </w:t>
      </w:r>
      <w:r w:rsidR="00EE5EC8" w:rsidRPr="00D97B14">
        <w:rPr>
          <w:sz w:val="24"/>
        </w:rPr>
        <w:t>significantly</w:t>
      </w:r>
      <w:r w:rsidR="00A64BA3" w:rsidRPr="00D97B14">
        <w:rPr>
          <w:sz w:val="24"/>
        </w:rPr>
        <w:t xml:space="preserve"> better than the control, but was not </w:t>
      </w:r>
      <w:r w:rsidR="00A64BA3" w:rsidRPr="003B4F97">
        <w:rPr>
          <w:sz w:val="24"/>
          <w:szCs w:val="24"/>
        </w:rPr>
        <w:t xml:space="preserve">as effective as other products. There was some plant stunting and phytotoxicity observed on plots treated with Linex plus Dimetric. </w:t>
      </w:r>
    </w:p>
    <w:p w:rsidR="007D0641" w:rsidRDefault="007D0641"/>
    <w:tbl>
      <w:tblPr>
        <w:tblStyle w:val="TableGrid"/>
        <w:tblW w:w="10075" w:type="dxa"/>
        <w:tblLook w:val="04A0" w:firstRow="1" w:lastRow="0" w:firstColumn="1" w:lastColumn="0" w:noHBand="0" w:noVBand="1"/>
      </w:tblPr>
      <w:tblGrid>
        <w:gridCol w:w="1271"/>
        <w:gridCol w:w="3457"/>
        <w:gridCol w:w="2324"/>
        <w:gridCol w:w="3023"/>
      </w:tblGrid>
      <w:tr w:rsidR="007D0641" w:rsidTr="007F15DE">
        <w:tc>
          <w:tcPr>
            <w:tcW w:w="10075" w:type="dxa"/>
            <w:gridSpan w:val="4"/>
            <w:tcBorders>
              <w:top w:val="nil"/>
              <w:left w:val="nil"/>
              <w:bottom w:val="single" w:sz="4" w:space="0" w:color="auto"/>
              <w:right w:val="nil"/>
            </w:tcBorders>
          </w:tcPr>
          <w:p w:rsidR="007D0641" w:rsidRPr="00702C96" w:rsidRDefault="007D0641" w:rsidP="00710E9F">
            <w:r w:rsidRPr="00702C96">
              <w:t xml:space="preserve">Table 2: </w:t>
            </w:r>
            <w:r w:rsidRPr="00702C96">
              <w:rPr>
                <w:rFonts w:eastAsia="Times New Roman" w:cs="Times New Roman"/>
                <w:color w:val="000000"/>
              </w:rPr>
              <w:t>2017 Ragweed Pre-emergent Herbicide Trial</w:t>
            </w:r>
          </w:p>
        </w:tc>
      </w:tr>
      <w:tr w:rsidR="007D0641" w:rsidTr="007F15DE">
        <w:tc>
          <w:tcPr>
            <w:tcW w:w="1250" w:type="dxa"/>
            <w:tcBorders>
              <w:top w:val="single" w:sz="4" w:space="0" w:color="auto"/>
            </w:tcBorders>
          </w:tcPr>
          <w:p w:rsidR="007D0641" w:rsidRPr="00702C96" w:rsidRDefault="007D0641" w:rsidP="00702C96">
            <w:pPr>
              <w:jc w:val="center"/>
              <w:rPr>
                <w:b/>
              </w:rPr>
            </w:pPr>
            <w:r w:rsidRPr="00702C96">
              <w:rPr>
                <w:b/>
              </w:rPr>
              <w:t>Treatment #</w:t>
            </w:r>
          </w:p>
        </w:tc>
        <w:tc>
          <w:tcPr>
            <w:tcW w:w="3467" w:type="dxa"/>
            <w:tcBorders>
              <w:top w:val="single" w:sz="4" w:space="0" w:color="auto"/>
            </w:tcBorders>
          </w:tcPr>
          <w:p w:rsidR="007D0641" w:rsidRPr="00702C96" w:rsidRDefault="007D0641" w:rsidP="00710E9F">
            <w:pPr>
              <w:rPr>
                <w:b/>
              </w:rPr>
            </w:pPr>
            <w:r w:rsidRPr="00702C96">
              <w:rPr>
                <w:b/>
              </w:rPr>
              <w:t>Treatment and Rate</w:t>
            </w:r>
          </w:p>
        </w:tc>
        <w:tc>
          <w:tcPr>
            <w:tcW w:w="2327" w:type="dxa"/>
            <w:tcBorders>
              <w:top w:val="single" w:sz="4" w:space="0" w:color="auto"/>
            </w:tcBorders>
          </w:tcPr>
          <w:p w:rsidR="007D0641" w:rsidRPr="00702C96" w:rsidRDefault="007D0641" w:rsidP="00710E9F">
            <w:pPr>
              <w:rPr>
                <w:b/>
              </w:rPr>
            </w:pPr>
            <w:r w:rsidRPr="00702C96">
              <w:rPr>
                <w:b/>
              </w:rPr>
              <w:t>Common Name</w:t>
            </w:r>
          </w:p>
        </w:tc>
        <w:tc>
          <w:tcPr>
            <w:tcW w:w="3031" w:type="dxa"/>
            <w:tcBorders>
              <w:top w:val="single" w:sz="4" w:space="0" w:color="auto"/>
            </w:tcBorders>
          </w:tcPr>
          <w:p w:rsidR="007D0641" w:rsidRPr="00702C96" w:rsidRDefault="007D0641" w:rsidP="00710E9F">
            <w:pPr>
              <w:rPr>
                <w:b/>
              </w:rPr>
            </w:pPr>
            <w:r w:rsidRPr="00702C96">
              <w:rPr>
                <w:b/>
              </w:rPr>
              <w:t>Equivalent To</w:t>
            </w:r>
          </w:p>
        </w:tc>
      </w:tr>
      <w:tr w:rsidR="007D0641" w:rsidTr="00710E9F">
        <w:tc>
          <w:tcPr>
            <w:tcW w:w="1250" w:type="dxa"/>
          </w:tcPr>
          <w:p w:rsidR="007D0641" w:rsidRDefault="007D0641" w:rsidP="00702C96">
            <w:pPr>
              <w:jc w:val="center"/>
            </w:pPr>
            <w:r>
              <w:t>1</w:t>
            </w:r>
          </w:p>
        </w:tc>
        <w:tc>
          <w:tcPr>
            <w:tcW w:w="3467" w:type="dxa"/>
          </w:tcPr>
          <w:p w:rsidR="007D0641" w:rsidRDefault="007D0641" w:rsidP="00710E9F">
            <w:r>
              <w:t>Control</w:t>
            </w:r>
          </w:p>
        </w:tc>
        <w:tc>
          <w:tcPr>
            <w:tcW w:w="2327" w:type="dxa"/>
          </w:tcPr>
          <w:p w:rsidR="007D0641" w:rsidRDefault="007D0641" w:rsidP="00710E9F"/>
        </w:tc>
        <w:tc>
          <w:tcPr>
            <w:tcW w:w="3031" w:type="dxa"/>
          </w:tcPr>
          <w:p w:rsidR="007D0641" w:rsidRDefault="007D0641" w:rsidP="00710E9F">
            <w:r>
              <w:t xml:space="preserve"> No herbicide applied</w:t>
            </w:r>
          </w:p>
        </w:tc>
      </w:tr>
      <w:tr w:rsidR="007D0641" w:rsidTr="00710E9F">
        <w:tc>
          <w:tcPr>
            <w:tcW w:w="1250" w:type="dxa"/>
          </w:tcPr>
          <w:p w:rsidR="007D0641" w:rsidRDefault="007D0641" w:rsidP="00702C96">
            <w:pPr>
              <w:jc w:val="center"/>
            </w:pPr>
            <w:r>
              <w:t>2</w:t>
            </w:r>
          </w:p>
        </w:tc>
        <w:tc>
          <w:tcPr>
            <w:tcW w:w="3467" w:type="dxa"/>
          </w:tcPr>
          <w:p w:rsidR="007D0641" w:rsidRDefault="007D0641" w:rsidP="00710E9F">
            <w:r>
              <w:rPr>
                <w:rFonts w:eastAsia="Times New Roman" w:cs="Times New Roman"/>
                <w:color w:val="000000"/>
              </w:rPr>
              <w:t xml:space="preserve">1.5 pts </w:t>
            </w:r>
            <w:r w:rsidRPr="002C4EDD">
              <w:rPr>
                <w:rFonts w:eastAsia="Times New Roman" w:cs="Times New Roman"/>
                <w:color w:val="000000"/>
              </w:rPr>
              <w:t>Linex</w:t>
            </w:r>
            <w:r>
              <w:rPr>
                <w:rFonts w:eastAsia="Times New Roman" w:cs="Times New Roman"/>
                <w:color w:val="000000"/>
              </w:rPr>
              <w:t xml:space="preserve"> 4L</w:t>
            </w:r>
          </w:p>
        </w:tc>
        <w:tc>
          <w:tcPr>
            <w:tcW w:w="2327" w:type="dxa"/>
          </w:tcPr>
          <w:p w:rsidR="007D0641" w:rsidRDefault="007D0641" w:rsidP="00710E9F">
            <w:r w:rsidRPr="004640B6">
              <w:t>(</w:t>
            </w:r>
            <w:r>
              <w:t>linuron</w:t>
            </w:r>
            <w:r w:rsidRPr="004640B6">
              <w:t>)</w:t>
            </w:r>
          </w:p>
        </w:tc>
        <w:tc>
          <w:tcPr>
            <w:tcW w:w="3031" w:type="dxa"/>
          </w:tcPr>
          <w:p w:rsidR="007D0641" w:rsidRDefault="007D0641" w:rsidP="00710E9F">
            <w:r>
              <w:rPr>
                <w:rFonts w:eastAsia="Times New Roman" w:cs="Times New Roman"/>
                <w:color w:val="000000"/>
              </w:rPr>
              <w:t xml:space="preserve">1.5 pts </w:t>
            </w:r>
            <w:r w:rsidRPr="002C4EDD">
              <w:rPr>
                <w:rFonts w:eastAsia="Times New Roman" w:cs="Times New Roman"/>
                <w:color w:val="000000"/>
              </w:rPr>
              <w:t>Linex</w:t>
            </w:r>
            <w:r>
              <w:rPr>
                <w:rFonts w:eastAsia="Times New Roman" w:cs="Times New Roman"/>
                <w:color w:val="000000"/>
              </w:rPr>
              <w:t xml:space="preserve"> 4L</w:t>
            </w:r>
          </w:p>
        </w:tc>
      </w:tr>
      <w:tr w:rsidR="007D0641" w:rsidTr="00710E9F">
        <w:tc>
          <w:tcPr>
            <w:tcW w:w="1250" w:type="dxa"/>
          </w:tcPr>
          <w:p w:rsidR="007D0641" w:rsidRDefault="007D0641" w:rsidP="00702C96">
            <w:pPr>
              <w:jc w:val="center"/>
            </w:pPr>
            <w:r>
              <w:t>3</w:t>
            </w:r>
          </w:p>
        </w:tc>
        <w:tc>
          <w:tcPr>
            <w:tcW w:w="3467" w:type="dxa"/>
          </w:tcPr>
          <w:p w:rsidR="007D0641" w:rsidRDefault="007D0641" w:rsidP="00710E9F">
            <w:r>
              <w:t>4 oz Dimetric</w:t>
            </w:r>
          </w:p>
        </w:tc>
        <w:tc>
          <w:tcPr>
            <w:tcW w:w="2327" w:type="dxa"/>
          </w:tcPr>
          <w:p w:rsidR="007D0641" w:rsidRDefault="007D0641" w:rsidP="00710E9F">
            <w:r>
              <w:t>(</w:t>
            </w:r>
            <w:r w:rsidRPr="004640B6">
              <w:t>metribuzin)</w:t>
            </w:r>
          </w:p>
        </w:tc>
        <w:tc>
          <w:tcPr>
            <w:tcW w:w="3031" w:type="dxa"/>
          </w:tcPr>
          <w:p w:rsidR="007D0641" w:rsidRDefault="007D0641" w:rsidP="00710E9F">
            <w:r>
              <w:t>4.0 ozs Metribuzin 75DF</w:t>
            </w:r>
          </w:p>
        </w:tc>
      </w:tr>
      <w:tr w:rsidR="007D0641" w:rsidTr="00710E9F">
        <w:tc>
          <w:tcPr>
            <w:tcW w:w="1250" w:type="dxa"/>
          </w:tcPr>
          <w:p w:rsidR="007D0641" w:rsidRDefault="007D0641" w:rsidP="00702C96">
            <w:pPr>
              <w:jc w:val="center"/>
            </w:pPr>
            <w:r>
              <w:t>4</w:t>
            </w:r>
          </w:p>
        </w:tc>
        <w:tc>
          <w:tcPr>
            <w:tcW w:w="3467" w:type="dxa"/>
          </w:tcPr>
          <w:p w:rsidR="007D0641" w:rsidRDefault="007D0641" w:rsidP="00710E9F">
            <w:r w:rsidRPr="0021269F">
              <w:t>3 oz Valor SX</w:t>
            </w:r>
          </w:p>
        </w:tc>
        <w:tc>
          <w:tcPr>
            <w:tcW w:w="2327" w:type="dxa"/>
          </w:tcPr>
          <w:p w:rsidR="007D0641" w:rsidRDefault="007D0641" w:rsidP="00710E9F">
            <w:r w:rsidRPr="0021269F">
              <w:t>(flumioxazin)</w:t>
            </w:r>
          </w:p>
        </w:tc>
        <w:tc>
          <w:tcPr>
            <w:tcW w:w="3031" w:type="dxa"/>
          </w:tcPr>
          <w:p w:rsidR="007D0641" w:rsidRDefault="007D0641" w:rsidP="00710E9F">
            <w:r w:rsidRPr="0021269F">
              <w:t>3 oz Valor SX</w:t>
            </w:r>
          </w:p>
        </w:tc>
      </w:tr>
      <w:tr w:rsidR="007D0641" w:rsidTr="00710E9F">
        <w:tc>
          <w:tcPr>
            <w:tcW w:w="1250" w:type="dxa"/>
          </w:tcPr>
          <w:p w:rsidR="007D0641" w:rsidRDefault="007D0641" w:rsidP="00702C96">
            <w:pPr>
              <w:jc w:val="center"/>
            </w:pPr>
            <w:r>
              <w:t>5</w:t>
            </w:r>
          </w:p>
        </w:tc>
        <w:tc>
          <w:tcPr>
            <w:tcW w:w="3467" w:type="dxa"/>
          </w:tcPr>
          <w:p w:rsidR="007D0641" w:rsidRDefault="007D0641" w:rsidP="00710E9F">
            <w:r>
              <w:rPr>
                <w:rFonts w:eastAsia="Times New Roman" w:cs="Times New Roman"/>
                <w:color w:val="000000"/>
              </w:rPr>
              <w:t xml:space="preserve">2.66 pts </w:t>
            </w:r>
            <w:r w:rsidRPr="002C4EDD">
              <w:rPr>
                <w:rFonts w:eastAsia="Times New Roman" w:cs="Times New Roman"/>
                <w:color w:val="000000"/>
              </w:rPr>
              <w:t>Command</w:t>
            </w:r>
          </w:p>
        </w:tc>
        <w:tc>
          <w:tcPr>
            <w:tcW w:w="2327" w:type="dxa"/>
          </w:tcPr>
          <w:p w:rsidR="007D0641" w:rsidRDefault="007D0641" w:rsidP="00710E9F">
            <w:r>
              <w:t>(clomazone)</w:t>
            </w:r>
          </w:p>
        </w:tc>
        <w:tc>
          <w:tcPr>
            <w:tcW w:w="3031" w:type="dxa"/>
          </w:tcPr>
          <w:p w:rsidR="007D0641" w:rsidRDefault="007D0641" w:rsidP="00710E9F">
            <w:r>
              <w:rPr>
                <w:rFonts w:eastAsia="Times New Roman" w:cs="Times New Roman"/>
                <w:color w:val="000000"/>
              </w:rPr>
              <w:t xml:space="preserve">2.66 pts </w:t>
            </w:r>
            <w:r w:rsidRPr="002C4EDD">
              <w:rPr>
                <w:rFonts w:eastAsia="Times New Roman" w:cs="Times New Roman"/>
                <w:color w:val="000000"/>
              </w:rPr>
              <w:t>Command</w:t>
            </w:r>
          </w:p>
        </w:tc>
      </w:tr>
      <w:tr w:rsidR="007D0641" w:rsidTr="00710E9F">
        <w:tc>
          <w:tcPr>
            <w:tcW w:w="1250" w:type="dxa"/>
          </w:tcPr>
          <w:p w:rsidR="007D0641" w:rsidRDefault="007D0641" w:rsidP="00702C96">
            <w:pPr>
              <w:jc w:val="center"/>
            </w:pPr>
            <w:r>
              <w:t>6</w:t>
            </w:r>
          </w:p>
        </w:tc>
        <w:tc>
          <w:tcPr>
            <w:tcW w:w="3467" w:type="dxa"/>
          </w:tcPr>
          <w:p w:rsidR="007D0641" w:rsidRDefault="007D0641" w:rsidP="00710E9F">
            <w:pPr>
              <w:rPr>
                <w:rFonts w:eastAsia="Times New Roman" w:cs="Times New Roman"/>
                <w:color w:val="000000"/>
              </w:rPr>
            </w:pPr>
            <w:r>
              <w:rPr>
                <w:rFonts w:eastAsia="Times New Roman" w:cs="Times New Roman"/>
                <w:color w:val="000000"/>
              </w:rPr>
              <w:t xml:space="preserve">2.66 pts </w:t>
            </w:r>
            <w:r w:rsidRPr="002C4EDD">
              <w:rPr>
                <w:rFonts w:eastAsia="Times New Roman" w:cs="Times New Roman"/>
                <w:color w:val="000000"/>
              </w:rPr>
              <w:t xml:space="preserve">Command plus </w:t>
            </w:r>
          </w:p>
          <w:p w:rsidR="007D0641" w:rsidRDefault="007D0641" w:rsidP="00710E9F">
            <w:r>
              <w:t>4 oz Dimetric</w:t>
            </w:r>
          </w:p>
        </w:tc>
        <w:tc>
          <w:tcPr>
            <w:tcW w:w="2327" w:type="dxa"/>
          </w:tcPr>
          <w:p w:rsidR="007D0641" w:rsidRDefault="007D0641" w:rsidP="00710E9F">
            <w:r>
              <w:t>(clomazone + metribuzin)</w:t>
            </w:r>
          </w:p>
        </w:tc>
        <w:tc>
          <w:tcPr>
            <w:tcW w:w="3031" w:type="dxa"/>
          </w:tcPr>
          <w:p w:rsidR="007D0641" w:rsidRDefault="007D0641" w:rsidP="00710E9F">
            <w:pPr>
              <w:rPr>
                <w:rFonts w:eastAsia="Times New Roman" w:cs="Times New Roman"/>
                <w:color w:val="000000"/>
              </w:rPr>
            </w:pPr>
            <w:r>
              <w:rPr>
                <w:rFonts w:eastAsia="Times New Roman" w:cs="Times New Roman"/>
                <w:color w:val="000000"/>
              </w:rPr>
              <w:t xml:space="preserve">2.66 pts </w:t>
            </w:r>
            <w:r w:rsidRPr="002C4EDD">
              <w:rPr>
                <w:rFonts w:eastAsia="Times New Roman" w:cs="Times New Roman"/>
                <w:color w:val="000000"/>
              </w:rPr>
              <w:t>Command</w:t>
            </w:r>
          </w:p>
          <w:p w:rsidR="007D0641" w:rsidRDefault="007D0641" w:rsidP="00710E9F">
            <w:r>
              <w:t>4.0 ozs Metribuzin 75DF</w:t>
            </w:r>
          </w:p>
        </w:tc>
      </w:tr>
      <w:tr w:rsidR="007D0641" w:rsidTr="00710E9F">
        <w:tc>
          <w:tcPr>
            <w:tcW w:w="1250" w:type="dxa"/>
          </w:tcPr>
          <w:p w:rsidR="007D0641" w:rsidRDefault="007D0641" w:rsidP="00702C96">
            <w:pPr>
              <w:jc w:val="center"/>
            </w:pPr>
            <w:r>
              <w:t>7</w:t>
            </w:r>
          </w:p>
        </w:tc>
        <w:tc>
          <w:tcPr>
            <w:tcW w:w="3467" w:type="dxa"/>
          </w:tcPr>
          <w:p w:rsidR="007D0641" w:rsidRDefault="007D0641" w:rsidP="00710E9F">
            <w:pPr>
              <w:rPr>
                <w:rFonts w:eastAsia="Times New Roman" w:cs="Times New Roman"/>
                <w:color w:val="000000"/>
              </w:rPr>
            </w:pPr>
            <w:r>
              <w:rPr>
                <w:rFonts w:eastAsia="Times New Roman" w:cs="Times New Roman"/>
                <w:color w:val="000000"/>
              </w:rPr>
              <w:t xml:space="preserve">2.66 pts </w:t>
            </w:r>
            <w:r w:rsidRPr="002C4EDD">
              <w:rPr>
                <w:rFonts w:eastAsia="Times New Roman" w:cs="Times New Roman"/>
                <w:color w:val="000000"/>
              </w:rPr>
              <w:t xml:space="preserve">Command plus </w:t>
            </w:r>
          </w:p>
          <w:p w:rsidR="007D0641" w:rsidRDefault="007D0641" w:rsidP="00710E9F">
            <w:r>
              <w:rPr>
                <w:rFonts w:eastAsia="Times New Roman" w:cs="Times New Roman"/>
                <w:color w:val="000000"/>
              </w:rPr>
              <w:t xml:space="preserve">1.5 pts </w:t>
            </w:r>
            <w:r w:rsidRPr="002C4EDD">
              <w:rPr>
                <w:rFonts w:eastAsia="Times New Roman" w:cs="Times New Roman"/>
                <w:color w:val="000000"/>
              </w:rPr>
              <w:t>Linex</w:t>
            </w:r>
            <w:r>
              <w:rPr>
                <w:rFonts w:eastAsia="Times New Roman" w:cs="Times New Roman"/>
                <w:color w:val="000000"/>
              </w:rPr>
              <w:t xml:space="preserve"> 4L</w:t>
            </w:r>
          </w:p>
        </w:tc>
        <w:tc>
          <w:tcPr>
            <w:tcW w:w="2327" w:type="dxa"/>
          </w:tcPr>
          <w:p w:rsidR="007D0641" w:rsidRDefault="007D0641" w:rsidP="00710E9F">
            <w:r>
              <w:t>(clomazone + linuron)</w:t>
            </w:r>
          </w:p>
        </w:tc>
        <w:tc>
          <w:tcPr>
            <w:tcW w:w="3031" w:type="dxa"/>
          </w:tcPr>
          <w:p w:rsidR="007D0641" w:rsidRDefault="007D0641" w:rsidP="00710E9F">
            <w:pPr>
              <w:rPr>
                <w:rFonts w:eastAsia="Times New Roman" w:cs="Times New Roman"/>
                <w:color w:val="000000"/>
              </w:rPr>
            </w:pPr>
            <w:r>
              <w:rPr>
                <w:rFonts w:eastAsia="Times New Roman" w:cs="Times New Roman"/>
                <w:color w:val="000000"/>
              </w:rPr>
              <w:t xml:space="preserve">2.66 pts </w:t>
            </w:r>
            <w:r w:rsidRPr="002C4EDD">
              <w:rPr>
                <w:rFonts w:eastAsia="Times New Roman" w:cs="Times New Roman"/>
                <w:color w:val="000000"/>
              </w:rPr>
              <w:t>Command</w:t>
            </w:r>
          </w:p>
          <w:p w:rsidR="007D0641" w:rsidRDefault="007D0641" w:rsidP="00710E9F">
            <w:r>
              <w:rPr>
                <w:rFonts w:eastAsia="Times New Roman" w:cs="Times New Roman"/>
                <w:color w:val="000000"/>
              </w:rPr>
              <w:t xml:space="preserve">1.5 pts </w:t>
            </w:r>
            <w:r w:rsidRPr="002C4EDD">
              <w:rPr>
                <w:rFonts w:eastAsia="Times New Roman" w:cs="Times New Roman"/>
                <w:color w:val="000000"/>
              </w:rPr>
              <w:t>Linex</w:t>
            </w:r>
            <w:r>
              <w:rPr>
                <w:rFonts w:eastAsia="Times New Roman" w:cs="Times New Roman"/>
                <w:color w:val="000000"/>
              </w:rPr>
              <w:t xml:space="preserve"> 4L</w:t>
            </w:r>
          </w:p>
        </w:tc>
      </w:tr>
      <w:tr w:rsidR="007D0641" w:rsidTr="00710E9F">
        <w:tc>
          <w:tcPr>
            <w:tcW w:w="1250" w:type="dxa"/>
          </w:tcPr>
          <w:p w:rsidR="007D0641" w:rsidRDefault="007D0641" w:rsidP="00702C96">
            <w:pPr>
              <w:jc w:val="center"/>
            </w:pPr>
            <w:r>
              <w:t>8</w:t>
            </w:r>
          </w:p>
        </w:tc>
        <w:tc>
          <w:tcPr>
            <w:tcW w:w="3467" w:type="dxa"/>
          </w:tcPr>
          <w:p w:rsidR="007D0641" w:rsidRDefault="007D0641" w:rsidP="00710E9F">
            <w:pPr>
              <w:rPr>
                <w:rFonts w:eastAsia="Times New Roman" w:cs="Times New Roman"/>
                <w:color w:val="000000"/>
              </w:rPr>
            </w:pPr>
            <w:r>
              <w:rPr>
                <w:rFonts w:eastAsia="Times New Roman" w:cs="Times New Roman"/>
                <w:color w:val="000000"/>
              </w:rPr>
              <w:t xml:space="preserve">.75 pts </w:t>
            </w:r>
            <w:r w:rsidRPr="002C4EDD">
              <w:rPr>
                <w:rFonts w:eastAsia="Times New Roman" w:cs="Times New Roman"/>
                <w:color w:val="000000"/>
              </w:rPr>
              <w:t>Linex</w:t>
            </w:r>
            <w:r>
              <w:rPr>
                <w:rFonts w:eastAsia="Times New Roman" w:cs="Times New Roman"/>
                <w:color w:val="000000"/>
              </w:rPr>
              <w:t xml:space="preserve"> 4L</w:t>
            </w:r>
            <w:r w:rsidRPr="002C4EDD">
              <w:rPr>
                <w:rFonts w:eastAsia="Times New Roman" w:cs="Times New Roman"/>
                <w:color w:val="000000"/>
              </w:rPr>
              <w:t xml:space="preserve"> plus </w:t>
            </w:r>
          </w:p>
          <w:p w:rsidR="007D0641" w:rsidRDefault="007D0641" w:rsidP="00710E9F">
            <w:r>
              <w:t>4 oz Dimetric</w:t>
            </w:r>
          </w:p>
        </w:tc>
        <w:tc>
          <w:tcPr>
            <w:tcW w:w="2327" w:type="dxa"/>
          </w:tcPr>
          <w:p w:rsidR="007D0641" w:rsidRDefault="007D0641" w:rsidP="00710E9F">
            <w:r>
              <w:t xml:space="preserve">(linuron + </w:t>
            </w:r>
            <w:r w:rsidRPr="004640B6">
              <w:t>metribuzin)</w:t>
            </w:r>
          </w:p>
        </w:tc>
        <w:tc>
          <w:tcPr>
            <w:tcW w:w="3031" w:type="dxa"/>
          </w:tcPr>
          <w:p w:rsidR="007D0641" w:rsidRDefault="007D0641" w:rsidP="00710E9F">
            <w:r>
              <w:rPr>
                <w:rFonts w:eastAsia="Times New Roman" w:cs="Times New Roman"/>
                <w:color w:val="000000"/>
              </w:rPr>
              <w:t xml:space="preserve">.75 pts </w:t>
            </w:r>
            <w:r w:rsidRPr="002C4EDD">
              <w:rPr>
                <w:rFonts w:eastAsia="Times New Roman" w:cs="Times New Roman"/>
                <w:color w:val="000000"/>
              </w:rPr>
              <w:t>Linex</w:t>
            </w:r>
            <w:r>
              <w:rPr>
                <w:rFonts w:eastAsia="Times New Roman" w:cs="Times New Roman"/>
                <w:color w:val="000000"/>
              </w:rPr>
              <w:t xml:space="preserve"> 4L</w:t>
            </w:r>
          </w:p>
          <w:p w:rsidR="007D0641" w:rsidRDefault="007D0641" w:rsidP="00710E9F">
            <w:r>
              <w:t>4.0 ozs Metribuzin 75DF</w:t>
            </w:r>
          </w:p>
        </w:tc>
      </w:tr>
      <w:tr w:rsidR="007D0641" w:rsidTr="00710E9F">
        <w:tc>
          <w:tcPr>
            <w:tcW w:w="1250" w:type="dxa"/>
          </w:tcPr>
          <w:p w:rsidR="007D0641" w:rsidRDefault="007D0641" w:rsidP="00702C96">
            <w:pPr>
              <w:jc w:val="center"/>
            </w:pPr>
            <w:r>
              <w:t>9</w:t>
            </w:r>
          </w:p>
        </w:tc>
        <w:tc>
          <w:tcPr>
            <w:tcW w:w="3467" w:type="dxa"/>
          </w:tcPr>
          <w:p w:rsidR="007D0641" w:rsidRDefault="007D0641" w:rsidP="00710E9F">
            <w:pPr>
              <w:rPr>
                <w:rFonts w:eastAsia="Times New Roman" w:cs="Times New Roman"/>
                <w:color w:val="000000"/>
              </w:rPr>
            </w:pPr>
            <w:r w:rsidRPr="0021269F">
              <w:t>3 oz Valor SX</w:t>
            </w:r>
            <w:r w:rsidRPr="002C4EDD">
              <w:rPr>
                <w:rFonts w:eastAsia="Times New Roman" w:cs="Times New Roman"/>
                <w:color w:val="000000"/>
              </w:rPr>
              <w:t xml:space="preserve">  plus</w:t>
            </w:r>
          </w:p>
          <w:p w:rsidR="007D0641" w:rsidRDefault="007D0641" w:rsidP="00710E9F">
            <w:r>
              <w:t>4 oz Dimetric</w:t>
            </w:r>
          </w:p>
        </w:tc>
        <w:tc>
          <w:tcPr>
            <w:tcW w:w="2327" w:type="dxa"/>
          </w:tcPr>
          <w:p w:rsidR="007D0641" w:rsidRDefault="007D0641" w:rsidP="00710E9F">
            <w:r w:rsidRPr="0021269F">
              <w:t>(flumioxazin +</w:t>
            </w:r>
            <w:r w:rsidRPr="004640B6">
              <w:t xml:space="preserve"> metribuzin</w:t>
            </w:r>
            <w:r w:rsidRPr="0021269F">
              <w:t>)</w:t>
            </w:r>
          </w:p>
        </w:tc>
        <w:tc>
          <w:tcPr>
            <w:tcW w:w="3031" w:type="dxa"/>
          </w:tcPr>
          <w:p w:rsidR="007D0641" w:rsidRDefault="007D0641" w:rsidP="00710E9F">
            <w:r w:rsidRPr="0021269F">
              <w:t>3 oz Valor SX</w:t>
            </w:r>
          </w:p>
          <w:p w:rsidR="007D0641" w:rsidRDefault="007D0641" w:rsidP="00710E9F">
            <w:r>
              <w:t>4.0 ozs Metribuzin 75DF</w:t>
            </w:r>
          </w:p>
        </w:tc>
      </w:tr>
      <w:tr w:rsidR="007D0641" w:rsidTr="00710E9F">
        <w:tc>
          <w:tcPr>
            <w:tcW w:w="1250" w:type="dxa"/>
          </w:tcPr>
          <w:p w:rsidR="007D0641" w:rsidRDefault="007D0641" w:rsidP="00702C96">
            <w:pPr>
              <w:jc w:val="center"/>
            </w:pPr>
            <w:r>
              <w:t>10</w:t>
            </w:r>
          </w:p>
        </w:tc>
        <w:tc>
          <w:tcPr>
            <w:tcW w:w="3467" w:type="dxa"/>
          </w:tcPr>
          <w:p w:rsidR="007D0641" w:rsidRDefault="007D0641" w:rsidP="00710E9F">
            <w:r w:rsidRPr="0021269F">
              <w:t>3.75 oz Fierce</w:t>
            </w:r>
          </w:p>
        </w:tc>
        <w:tc>
          <w:tcPr>
            <w:tcW w:w="2327" w:type="dxa"/>
          </w:tcPr>
          <w:p w:rsidR="007D0641" w:rsidRDefault="007D0641" w:rsidP="00710E9F">
            <w:r w:rsidRPr="0021269F">
              <w:t>(flumioxazin + pyroxasulfone)</w:t>
            </w:r>
          </w:p>
        </w:tc>
        <w:tc>
          <w:tcPr>
            <w:tcW w:w="3031" w:type="dxa"/>
          </w:tcPr>
          <w:p w:rsidR="007D0641" w:rsidRDefault="007D0641" w:rsidP="00710E9F">
            <w:r>
              <w:t xml:space="preserve">2.5 oz Valor SX </w:t>
            </w:r>
          </w:p>
          <w:p w:rsidR="007D0641" w:rsidRDefault="007D0641" w:rsidP="00710E9F">
            <w:r>
              <w:t>1.9 ozs Zidua</w:t>
            </w:r>
          </w:p>
        </w:tc>
      </w:tr>
    </w:tbl>
    <w:p w:rsidR="00740EA0" w:rsidRDefault="00740EA0"/>
    <w:p w:rsidR="00740EA0" w:rsidRDefault="00740EA0"/>
    <w:p w:rsidR="006A7D80" w:rsidRDefault="006A7D80"/>
    <w:p w:rsidR="006A7D80" w:rsidRDefault="006A7D80"/>
    <w:p w:rsidR="009C2A94" w:rsidRDefault="0087525D">
      <w:r w:rsidRPr="00233EB3">
        <w:rPr>
          <w:noProof/>
        </w:rPr>
        <w:drawing>
          <wp:inline distT="0" distB="0" distL="0" distR="0" wp14:anchorId="1085F8B8" wp14:editId="7EA36CEE">
            <wp:extent cx="6858000" cy="38576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2A94" w:rsidRDefault="009C2A94"/>
    <w:p w:rsidR="00671F87" w:rsidRDefault="00671F87" w:rsidP="00245CDF">
      <w:pPr>
        <w:tabs>
          <w:tab w:val="left" w:pos="8865"/>
        </w:tabs>
      </w:pPr>
    </w:p>
    <w:p w:rsidR="00A336BD" w:rsidRDefault="00A336BD" w:rsidP="00245CDF">
      <w:pPr>
        <w:tabs>
          <w:tab w:val="left" w:pos="8865"/>
        </w:tabs>
      </w:pPr>
      <w:r>
        <w:t>---------------------------------------------------------------------------------------------------------------------------------------------------------------</w:t>
      </w:r>
    </w:p>
    <w:p w:rsidR="00A336BD" w:rsidRDefault="00A336BD" w:rsidP="00245CDF">
      <w:pPr>
        <w:tabs>
          <w:tab w:val="left" w:pos="8865"/>
        </w:tabs>
      </w:pPr>
    </w:p>
    <w:p w:rsidR="00A336BD" w:rsidRDefault="00A336BD" w:rsidP="00245CDF">
      <w:pPr>
        <w:tabs>
          <w:tab w:val="left" w:pos="8865"/>
        </w:tabs>
      </w:pPr>
      <w:r>
        <w:t>Sample Abstract:</w:t>
      </w:r>
    </w:p>
    <w:p w:rsidR="00A336BD" w:rsidRPr="00BA0651" w:rsidRDefault="00A336BD" w:rsidP="00A336BD">
      <w:pPr>
        <w:jc w:val="both"/>
        <w:rPr>
          <w:b/>
          <w:sz w:val="24"/>
          <w:szCs w:val="24"/>
        </w:rPr>
      </w:pPr>
    </w:p>
    <w:p w:rsidR="00A336BD" w:rsidRPr="00BA0651" w:rsidRDefault="00A336BD" w:rsidP="00A336BD">
      <w:pPr>
        <w:jc w:val="both"/>
        <w:rPr>
          <w:rFonts w:ascii="Calibri" w:eastAsia="Calibri" w:hAnsi="Calibri" w:cs="Times New Roman"/>
          <w:sz w:val="24"/>
          <w:szCs w:val="24"/>
        </w:rPr>
      </w:pPr>
      <w:r w:rsidRPr="00BA0651">
        <w:rPr>
          <w:sz w:val="24"/>
          <w:szCs w:val="24"/>
        </w:rPr>
        <w:t xml:space="preserve">    Herbicide resistance continues to be a major concern for Maryland soybean growers, particularly </w:t>
      </w:r>
      <w:proofErr w:type="gramStart"/>
      <w:r w:rsidRPr="00BA0651">
        <w:rPr>
          <w:sz w:val="24"/>
          <w:szCs w:val="24"/>
        </w:rPr>
        <w:t>with  ALS</w:t>
      </w:r>
      <w:proofErr w:type="gramEnd"/>
      <w:r w:rsidRPr="00BA0651">
        <w:rPr>
          <w:sz w:val="24"/>
          <w:szCs w:val="24"/>
        </w:rPr>
        <w:t xml:space="preserve"> and Glyphosate herbicide resistant </w:t>
      </w:r>
      <w:r w:rsidR="00702C96">
        <w:rPr>
          <w:sz w:val="24"/>
          <w:szCs w:val="24"/>
        </w:rPr>
        <w:t>Palmer</w:t>
      </w:r>
      <w:r w:rsidRPr="00BA0651">
        <w:rPr>
          <w:sz w:val="24"/>
          <w:szCs w:val="24"/>
        </w:rPr>
        <w:t xml:space="preserve"> amaranth (</w:t>
      </w:r>
      <w:r w:rsidRPr="00BA0651">
        <w:rPr>
          <w:i/>
          <w:sz w:val="24"/>
          <w:szCs w:val="24"/>
        </w:rPr>
        <w:t>Amaranthus palmeri</w:t>
      </w:r>
      <w:r w:rsidRPr="00BA0651">
        <w:rPr>
          <w:sz w:val="24"/>
          <w:szCs w:val="24"/>
        </w:rPr>
        <w:t>), common ragweed (</w:t>
      </w:r>
      <w:r w:rsidRPr="00BA0651">
        <w:rPr>
          <w:i/>
          <w:sz w:val="24"/>
          <w:szCs w:val="24"/>
        </w:rPr>
        <w:t>Ambrosia artemisiifolia</w:t>
      </w:r>
      <w:r w:rsidRPr="00BA0651">
        <w:rPr>
          <w:sz w:val="24"/>
          <w:szCs w:val="24"/>
        </w:rPr>
        <w:t>) and marestail (</w:t>
      </w:r>
      <w:r w:rsidRPr="00BA0651">
        <w:rPr>
          <w:i/>
          <w:sz w:val="24"/>
          <w:szCs w:val="24"/>
        </w:rPr>
        <w:t>Conyza canadensis</w:t>
      </w:r>
      <w:r w:rsidRPr="00BA0651">
        <w:rPr>
          <w:sz w:val="24"/>
          <w:szCs w:val="24"/>
        </w:rPr>
        <w:t xml:space="preserve">). On-farm replicated research trials conducted at two locations during the 2015, 2016, and 2017 seasons evaluated the efficacy of fifteen pre-emergent herbicide treatments for control of </w:t>
      </w:r>
      <w:r w:rsidR="00702C96">
        <w:rPr>
          <w:sz w:val="24"/>
          <w:szCs w:val="24"/>
        </w:rPr>
        <w:t>Palmer</w:t>
      </w:r>
      <w:r w:rsidRPr="00BA0651">
        <w:rPr>
          <w:sz w:val="24"/>
          <w:szCs w:val="24"/>
        </w:rPr>
        <w:t xml:space="preserve"> amaranth. A complete block randomized design with four replications was utilized on a field location with a heavy infestation of glyphosate and ALS resistant </w:t>
      </w:r>
      <w:r w:rsidR="00702C96">
        <w:rPr>
          <w:sz w:val="24"/>
          <w:szCs w:val="24"/>
        </w:rPr>
        <w:t>Palmer</w:t>
      </w:r>
      <w:r w:rsidRPr="00BA0651">
        <w:rPr>
          <w:sz w:val="24"/>
          <w:szCs w:val="24"/>
        </w:rPr>
        <w:t xml:space="preserve"> amaranth the preceding crop year. </w:t>
      </w:r>
      <w:r w:rsidRPr="00BA0651">
        <w:rPr>
          <w:rFonts w:ascii="Calibri" w:eastAsia="Calibri" w:hAnsi="Calibri" w:cs="Times New Roman"/>
          <w:sz w:val="24"/>
          <w:szCs w:val="24"/>
        </w:rPr>
        <w:t xml:space="preserve">The number of emerged </w:t>
      </w:r>
      <w:r w:rsidR="00702C96">
        <w:rPr>
          <w:rFonts w:ascii="Calibri" w:eastAsia="Calibri" w:hAnsi="Calibri" w:cs="Times New Roman"/>
          <w:sz w:val="24"/>
          <w:szCs w:val="24"/>
        </w:rPr>
        <w:t>Palmer</w:t>
      </w:r>
      <w:r w:rsidRPr="00BA0651">
        <w:rPr>
          <w:rFonts w:ascii="Calibri" w:eastAsia="Calibri" w:hAnsi="Calibri" w:cs="Times New Roman"/>
          <w:sz w:val="24"/>
          <w:szCs w:val="24"/>
        </w:rPr>
        <w:t xml:space="preserve"> plants was recorded from individual plots starting 10 days after treatment and every 7 days thereafter. Height data from the 5 largest </w:t>
      </w:r>
      <w:r w:rsidR="00702C96">
        <w:rPr>
          <w:rFonts w:ascii="Calibri" w:eastAsia="Calibri" w:hAnsi="Calibri" w:cs="Times New Roman"/>
          <w:sz w:val="24"/>
          <w:szCs w:val="24"/>
        </w:rPr>
        <w:t>Palmer</w:t>
      </w:r>
      <w:r w:rsidRPr="00BA0651">
        <w:rPr>
          <w:rFonts w:ascii="Calibri" w:eastAsia="Calibri" w:hAnsi="Calibri" w:cs="Times New Roman"/>
          <w:sz w:val="24"/>
          <w:szCs w:val="24"/>
        </w:rPr>
        <w:t xml:space="preserve"> plants in each plot was also recorded.  Data was analyzed using an ANOVA and t-test for significant differences at the 0.05 confidence level. </w:t>
      </w:r>
      <w:r w:rsidRPr="00BA0651">
        <w:rPr>
          <w:sz w:val="24"/>
          <w:szCs w:val="24"/>
        </w:rPr>
        <w:t xml:space="preserve"> </w:t>
      </w:r>
      <w:r w:rsidRPr="00BA0651">
        <w:rPr>
          <w:rFonts w:ascii="Calibri" w:eastAsia="Calibri" w:hAnsi="Calibri" w:cs="Times New Roman"/>
          <w:sz w:val="24"/>
          <w:szCs w:val="24"/>
        </w:rPr>
        <w:t xml:space="preserve">Results indicate significantly better control of </w:t>
      </w:r>
      <w:r w:rsidR="00702C96">
        <w:rPr>
          <w:rFonts w:ascii="Calibri" w:eastAsia="Calibri" w:hAnsi="Calibri" w:cs="Times New Roman"/>
          <w:sz w:val="24"/>
          <w:szCs w:val="24"/>
        </w:rPr>
        <w:t>Palmer</w:t>
      </w:r>
      <w:r w:rsidRPr="00BA0651">
        <w:rPr>
          <w:rFonts w:ascii="Calibri" w:eastAsia="Calibri" w:hAnsi="Calibri" w:cs="Times New Roman"/>
          <w:sz w:val="24"/>
          <w:szCs w:val="24"/>
        </w:rPr>
        <w:t xml:space="preserve"> amaranth with the use of any residual product when compared to a non-treated control. Residual products varied in the l</w:t>
      </w:r>
      <w:r w:rsidR="00702C96">
        <w:rPr>
          <w:rFonts w:ascii="Calibri" w:eastAsia="Calibri" w:hAnsi="Calibri" w:cs="Times New Roman"/>
          <w:sz w:val="24"/>
          <w:szCs w:val="24"/>
        </w:rPr>
        <w:t>ength of control provided from two to six</w:t>
      </w:r>
      <w:r w:rsidRPr="00BA0651">
        <w:rPr>
          <w:rFonts w:ascii="Calibri" w:eastAsia="Calibri" w:hAnsi="Calibri" w:cs="Times New Roman"/>
          <w:sz w:val="24"/>
          <w:szCs w:val="24"/>
        </w:rPr>
        <w:t xml:space="preserve"> weeks.  Products with the active ingredient flumioxazin including premixes of Fierce or Fierce XLT or products with the active ingredient sulfentrazone including premixes such as Broadaxe or Authority XL provided the most consistent control. Residual herbicides also resulted in significant differences in weed height over the length of the season. This is especially advantageous in that it provides a longer time-frame for the timely and thus effective application of post-emergent herbicides. Field demonstration days were conducted each year at the trial locations to demonstrate trial results, weed identification and management techniques.</w:t>
      </w:r>
    </w:p>
    <w:p w:rsidR="00A336BD" w:rsidRPr="00245CDF" w:rsidRDefault="00A336BD" w:rsidP="00245CDF">
      <w:pPr>
        <w:tabs>
          <w:tab w:val="left" w:pos="8865"/>
        </w:tabs>
      </w:pPr>
    </w:p>
    <w:sectPr w:rsidR="00A336BD" w:rsidRPr="00245CDF" w:rsidSect="00171D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62"/>
    <w:rsid w:val="000258C7"/>
    <w:rsid w:val="000C0BC6"/>
    <w:rsid w:val="000D1978"/>
    <w:rsid w:val="00115BED"/>
    <w:rsid w:val="00171D7B"/>
    <w:rsid w:val="001A64B3"/>
    <w:rsid w:val="001C6C98"/>
    <w:rsid w:val="001D5F61"/>
    <w:rsid w:val="00233EB3"/>
    <w:rsid w:val="00245CDF"/>
    <w:rsid w:val="002474EB"/>
    <w:rsid w:val="002E6AA4"/>
    <w:rsid w:val="002F6188"/>
    <w:rsid w:val="003435F1"/>
    <w:rsid w:val="003B4F97"/>
    <w:rsid w:val="003C5C7E"/>
    <w:rsid w:val="003D4FD8"/>
    <w:rsid w:val="00420C10"/>
    <w:rsid w:val="00475737"/>
    <w:rsid w:val="00476243"/>
    <w:rsid w:val="004953E6"/>
    <w:rsid w:val="004D4F10"/>
    <w:rsid w:val="005274A7"/>
    <w:rsid w:val="005B3748"/>
    <w:rsid w:val="005E02D6"/>
    <w:rsid w:val="00637FC5"/>
    <w:rsid w:val="00671F87"/>
    <w:rsid w:val="0069091F"/>
    <w:rsid w:val="006A7C9B"/>
    <w:rsid w:val="006A7D80"/>
    <w:rsid w:val="006B13D7"/>
    <w:rsid w:val="00702C96"/>
    <w:rsid w:val="00740EA0"/>
    <w:rsid w:val="00754C1D"/>
    <w:rsid w:val="007755D3"/>
    <w:rsid w:val="007A0624"/>
    <w:rsid w:val="007A5229"/>
    <w:rsid w:val="007D0641"/>
    <w:rsid w:val="007F040B"/>
    <w:rsid w:val="007F15DE"/>
    <w:rsid w:val="00854923"/>
    <w:rsid w:val="0087525D"/>
    <w:rsid w:val="008A0CFD"/>
    <w:rsid w:val="0091635F"/>
    <w:rsid w:val="0097383F"/>
    <w:rsid w:val="009B6D62"/>
    <w:rsid w:val="009C2A94"/>
    <w:rsid w:val="00A336BD"/>
    <w:rsid w:val="00A36A4E"/>
    <w:rsid w:val="00A43172"/>
    <w:rsid w:val="00A64BA3"/>
    <w:rsid w:val="00A7475D"/>
    <w:rsid w:val="00AB2A7A"/>
    <w:rsid w:val="00AD22DE"/>
    <w:rsid w:val="00AE24C5"/>
    <w:rsid w:val="00B05D0E"/>
    <w:rsid w:val="00B15A3A"/>
    <w:rsid w:val="00B9480E"/>
    <w:rsid w:val="00BA5037"/>
    <w:rsid w:val="00BB03EE"/>
    <w:rsid w:val="00BB5886"/>
    <w:rsid w:val="00BC063E"/>
    <w:rsid w:val="00C4153A"/>
    <w:rsid w:val="00C41C83"/>
    <w:rsid w:val="00CB7CD6"/>
    <w:rsid w:val="00D76C5D"/>
    <w:rsid w:val="00D87FA7"/>
    <w:rsid w:val="00D97B14"/>
    <w:rsid w:val="00E05ECF"/>
    <w:rsid w:val="00E21E18"/>
    <w:rsid w:val="00E267D8"/>
    <w:rsid w:val="00EE5EC8"/>
    <w:rsid w:val="00F4675B"/>
    <w:rsid w:val="00F64765"/>
    <w:rsid w:val="00F7399E"/>
    <w:rsid w:val="00F8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AFD21-C7CB-4A92-85D7-AA796802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B6D6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D62"/>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4834">
      <w:bodyDiv w:val="1"/>
      <w:marLeft w:val="0"/>
      <w:marRight w:val="0"/>
      <w:marTop w:val="0"/>
      <w:marBottom w:val="0"/>
      <w:divBdr>
        <w:top w:val="none" w:sz="0" w:space="0" w:color="auto"/>
        <w:left w:val="none" w:sz="0" w:space="0" w:color="auto"/>
        <w:bottom w:val="none" w:sz="0" w:space="0" w:color="auto"/>
        <w:right w:val="none" w:sz="0" w:space="0" w:color="auto"/>
      </w:divBdr>
      <w:divsChild>
        <w:div w:id="47579522">
          <w:marLeft w:val="360"/>
          <w:marRight w:val="0"/>
          <w:marTop w:val="200"/>
          <w:marBottom w:val="0"/>
          <w:divBdr>
            <w:top w:val="none" w:sz="0" w:space="0" w:color="auto"/>
            <w:left w:val="none" w:sz="0" w:space="0" w:color="auto"/>
            <w:bottom w:val="none" w:sz="0" w:space="0" w:color="auto"/>
            <w:right w:val="none" w:sz="0" w:space="0" w:color="auto"/>
          </w:divBdr>
        </w:div>
        <w:div w:id="2138789270">
          <w:marLeft w:val="360"/>
          <w:marRight w:val="0"/>
          <w:marTop w:val="200"/>
          <w:marBottom w:val="0"/>
          <w:divBdr>
            <w:top w:val="none" w:sz="0" w:space="0" w:color="auto"/>
            <w:left w:val="none" w:sz="0" w:space="0" w:color="auto"/>
            <w:bottom w:val="none" w:sz="0" w:space="0" w:color="auto"/>
            <w:right w:val="none" w:sz="0" w:space="0" w:color="auto"/>
          </w:divBdr>
        </w:div>
      </w:divsChild>
    </w:div>
    <w:div w:id="19683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marys-srv\groups\stmarys\2017%20trial%20data\2017%20Trial%20Data\Bowling%20and%20Morgan%202017%20charts%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marys-srv\groups\stmarys\2017%20trial%20data\2017%20Trial%20Data\Bowling%20and%20Morgan%202017%20charts%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tmarys-srv\groups\stmarys\2017%20trial%20data\2017%20Trial%20Data\2017%20Ragweed%20Goode%20Counts%20revis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2</a:t>
            </a:r>
            <a:r>
              <a:rPr lang="en-US"/>
              <a:t>: 2017 Palmer Amaranth Control with Residual Herbicides</a:t>
            </a:r>
          </a:p>
          <a:p>
            <a:pPr>
              <a:defRPr/>
            </a:pPr>
            <a:r>
              <a:rPr lang="en-US"/>
              <a:t>St.</a:t>
            </a:r>
            <a:r>
              <a:rPr lang="en-US" baseline="0"/>
              <a:t> Mary's County</a:t>
            </a:r>
            <a:endParaRPr lang="en-US"/>
          </a:p>
        </c:rich>
      </c:tx>
      <c:layout>
        <c:manualLayout>
          <c:xMode val="edge"/>
          <c:yMode val="edge"/>
          <c:x val="0.13591685039370077"/>
          <c:y val="3.69553805774278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'morgan chart'!$B$5</c:f>
              <c:strCache>
                <c:ptCount val="1"/>
                <c:pt idx="0">
                  <c:v>10 DAT</c:v>
                </c:pt>
              </c:strCache>
            </c:strRef>
          </c:tx>
          <c:spPr>
            <a:solidFill>
              <a:schemeClr val="accent1"/>
            </a:solidFill>
            <a:ln>
              <a:noFill/>
            </a:ln>
            <a:effectLst/>
            <a:sp3d/>
          </c:spPr>
          <c:invertIfNegative val="0"/>
          <c:cat>
            <c:strRef>
              <c:f>'morgan chart'!$C$4:$Q$4</c:f>
              <c:strCache>
                <c:ptCount val="15"/>
                <c:pt idx="0">
                  <c:v>Control</c:v>
                </c:pt>
                <c:pt idx="1">
                  <c:v>Canopy</c:v>
                </c:pt>
                <c:pt idx="2">
                  <c:v>Prowl + Metz. plus Dual 21D P</c:v>
                </c:pt>
                <c:pt idx="3">
                  <c:v>Metribuzin </c:v>
                </c:pt>
                <c:pt idx="4">
                  <c:v>Boundary</c:v>
                </c:pt>
                <c:pt idx="5">
                  <c:v>Prowl</c:v>
                </c:pt>
                <c:pt idx="6">
                  <c:v>Boundary plus Dual 21D post</c:v>
                </c:pt>
                <c:pt idx="7">
                  <c:v>Fierce</c:v>
                </c:pt>
                <c:pt idx="8">
                  <c:v>Authority XL</c:v>
                </c:pt>
                <c:pt idx="9">
                  <c:v>BroadAxe plus Dual 21D post</c:v>
                </c:pt>
                <c:pt idx="10">
                  <c:v>Broad Axe</c:v>
                </c:pt>
                <c:pt idx="11">
                  <c:v>Valor and Dual Magnum (off-label)</c:v>
                </c:pt>
                <c:pt idx="12">
                  <c:v>Fierce plus Dual 21D post</c:v>
                </c:pt>
                <c:pt idx="13">
                  <c:v>Fierce XLT</c:v>
                </c:pt>
                <c:pt idx="14">
                  <c:v>Valor</c:v>
                </c:pt>
              </c:strCache>
            </c:strRef>
          </c:cat>
          <c:val>
            <c:numRef>
              <c:f>'morgan chart'!$C$5:$Q$5</c:f>
              <c:numCache>
                <c:formatCode>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0-BA04-184B-A5C5-6043F8634003}"/>
            </c:ext>
          </c:extLst>
        </c:ser>
        <c:ser>
          <c:idx val="1"/>
          <c:order val="1"/>
          <c:tx>
            <c:strRef>
              <c:f>'morgan chart'!$B$6</c:f>
              <c:strCache>
                <c:ptCount val="1"/>
                <c:pt idx="0">
                  <c:v>17 DAT</c:v>
                </c:pt>
              </c:strCache>
            </c:strRef>
          </c:tx>
          <c:spPr>
            <a:solidFill>
              <a:schemeClr val="accent2"/>
            </a:solidFill>
            <a:ln>
              <a:noFill/>
            </a:ln>
            <a:effectLst/>
            <a:sp3d/>
          </c:spPr>
          <c:invertIfNegative val="0"/>
          <c:cat>
            <c:strRef>
              <c:f>'morgan chart'!$C$4:$Q$4</c:f>
              <c:strCache>
                <c:ptCount val="15"/>
                <c:pt idx="0">
                  <c:v>Control</c:v>
                </c:pt>
                <c:pt idx="1">
                  <c:v>Canopy</c:v>
                </c:pt>
                <c:pt idx="2">
                  <c:v>Prowl + Metz. plus Dual 21D P</c:v>
                </c:pt>
                <c:pt idx="3">
                  <c:v>Metribuzin </c:v>
                </c:pt>
                <c:pt idx="4">
                  <c:v>Boundary</c:v>
                </c:pt>
                <c:pt idx="5">
                  <c:v>Prowl</c:v>
                </c:pt>
                <c:pt idx="6">
                  <c:v>Boundary plus Dual 21D post</c:v>
                </c:pt>
                <c:pt idx="7">
                  <c:v>Fierce</c:v>
                </c:pt>
                <c:pt idx="8">
                  <c:v>Authority XL</c:v>
                </c:pt>
                <c:pt idx="9">
                  <c:v>BroadAxe plus Dual 21D post</c:v>
                </c:pt>
                <c:pt idx="10">
                  <c:v>Broad Axe</c:v>
                </c:pt>
                <c:pt idx="11">
                  <c:v>Valor and Dual Magnum (off-label)</c:v>
                </c:pt>
                <c:pt idx="12">
                  <c:v>Fierce plus Dual 21D post</c:v>
                </c:pt>
                <c:pt idx="13">
                  <c:v>Fierce XLT</c:v>
                </c:pt>
                <c:pt idx="14">
                  <c:v>Valor</c:v>
                </c:pt>
              </c:strCache>
            </c:strRef>
          </c:cat>
          <c:val>
            <c:numRef>
              <c:f>'morgan chart'!$C$6:$Q$6</c:f>
              <c:numCache>
                <c:formatCode>0.0</c:formatCode>
                <c:ptCount val="15"/>
                <c:pt idx="0">
                  <c:v>116.75</c:v>
                </c:pt>
                <c:pt idx="1">
                  <c:v>59.75</c:v>
                </c:pt>
                <c:pt idx="2">
                  <c:v>59</c:v>
                </c:pt>
                <c:pt idx="3">
                  <c:v>36.25</c:v>
                </c:pt>
                <c:pt idx="4">
                  <c:v>45.25</c:v>
                </c:pt>
                <c:pt idx="5">
                  <c:v>55.75</c:v>
                </c:pt>
                <c:pt idx="6">
                  <c:v>10.75</c:v>
                </c:pt>
                <c:pt idx="7">
                  <c:v>1.75</c:v>
                </c:pt>
                <c:pt idx="8">
                  <c:v>0.75</c:v>
                </c:pt>
                <c:pt idx="9">
                  <c:v>3</c:v>
                </c:pt>
                <c:pt idx="10">
                  <c:v>0.25</c:v>
                </c:pt>
                <c:pt idx="11">
                  <c:v>0.25</c:v>
                </c:pt>
                <c:pt idx="12">
                  <c:v>0.25</c:v>
                </c:pt>
                <c:pt idx="13">
                  <c:v>0.25</c:v>
                </c:pt>
                <c:pt idx="14">
                  <c:v>0.25</c:v>
                </c:pt>
              </c:numCache>
            </c:numRef>
          </c:val>
          <c:extLst>
            <c:ext xmlns:c16="http://schemas.microsoft.com/office/drawing/2014/chart" uri="{C3380CC4-5D6E-409C-BE32-E72D297353CC}">
              <c16:uniqueId val="{00000001-BA04-184B-A5C5-6043F8634003}"/>
            </c:ext>
          </c:extLst>
        </c:ser>
        <c:ser>
          <c:idx val="2"/>
          <c:order val="2"/>
          <c:tx>
            <c:strRef>
              <c:f>'morgan chart'!$B$7</c:f>
              <c:strCache>
                <c:ptCount val="1"/>
                <c:pt idx="0">
                  <c:v>24 DAT</c:v>
                </c:pt>
              </c:strCache>
            </c:strRef>
          </c:tx>
          <c:spPr>
            <a:solidFill>
              <a:schemeClr val="accent3"/>
            </a:solidFill>
            <a:ln>
              <a:noFill/>
            </a:ln>
            <a:effectLst/>
            <a:sp3d/>
          </c:spPr>
          <c:invertIfNegative val="0"/>
          <c:cat>
            <c:strRef>
              <c:f>'morgan chart'!$C$4:$Q$4</c:f>
              <c:strCache>
                <c:ptCount val="15"/>
                <c:pt idx="0">
                  <c:v>Control</c:v>
                </c:pt>
                <c:pt idx="1">
                  <c:v>Canopy</c:v>
                </c:pt>
                <c:pt idx="2">
                  <c:v>Prowl + Metz. plus Dual 21D P</c:v>
                </c:pt>
                <c:pt idx="3">
                  <c:v>Metribuzin </c:v>
                </c:pt>
                <c:pt idx="4">
                  <c:v>Boundary</c:v>
                </c:pt>
                <c:pt idx="5">
                  <c:v>Prowl</c:v>
                </c:pt>
                <c:pt idx="6">
                  <c:v>Boundary plus Dual 21D post</c:v>
                </c:pt>
                <c:pt idx="7">
                  <c:v>Fierce</c:v>
                </c:pt>
                <c:pt idx="8">
                  <c:v>Authority XL</c:v>
                </c:pt>
                <c:pt idx="9">
                  <c:v>BroadAxe plus Dual 21D post</c:v>
                </c:pt>
                <c:pt idx="10">
                  <c:v>Broad Axe</c:v>
                </c:pt>
                <c:pt idx="11">
                  <c:v>Valor and Dual Magnum (off-label)</c:v>
                </c:pt>
                <c:pt idx="12">
                  <c:v>Fierce plus Dual 21D post</c:v>
                </c:pt>
                <c:pt idx="13">
                  <c:v>Fierce XLT</c:v>
                </c:pt>
                <c:pt idx="14">
                  <c:v>Valor</c:v>
                </c:pt>
              </c:strCache>
            </c:strRef>
          </c:cat>
          <c:val>
            <c:numRef>
              <c:f>'morgan chart'!$C$7:$Q$7</c:f>
              <c:numCache>
                <c:formatCode>0.0</c:formatCode>
                <c:ptCount val="15"/>
                <c:pt idx="0">
                  <c:v>498.75</c:v>
                </c:pt>
                <c:pt idx="1">
                  <c:v>117.75</c:v>
                </c:pt>
                <c:pt idx="2">
                  <c:v>91</c:v>
                </c:pt>
                <c:pt idx="3">
                  <c:v>77.5</c:v>
                </c:pt>
                <c:pt idx="4">
                  <c:v>72.75</c:v>
                </c:pt>
                <c:pt idx="5">
                  <c:v>75.25</c:v>
                </c:pt>
                <c:pt idx="6">
                  <c:v>41.5</c:v>
                </c:pt>
                <c:pt idx="7">
                  <c:v>7.75</c:v>
                </c:pt>
                <c:pt idx="8">
                  <c:v>7.75</c:v>
                </c:pt>
                <c:pt idx="9">
                  <c:v>9.25</c:v>
                </c:pt>
                <c:pt idx="10">
                  <c:v>4</c:v>
                </c:pt>
                <c:pt idx="11">
                  <c:v>2.25</c:v>
                </c:pt>
                <c:pt idx="12">
                  <c:v>0.75</c:v>
                </c:pt>
                <c:pt idx="13">
                  <c:v>5</c:v>
                </c:pt>
                <c:pt idx="14">
                  <c:v>2</c:v>
                </c:pt>
              </c:numCache>
            </c:numRef>
          </c:val>
          <c:extLst>
            <c:ext xmlns:c16="http://schemas.microsoft.com/office/drawing/2014/chart" uri="{C3380CC4-5D6E-409C-BE32-E72D297353CC}">
              <c16:uniqueId val="{00000002-BA04-184B-A5C5-6043F8634003}"/>
            </c:ext>
          </c:extLst>
        </c:ser>
        <c:ser>
          <c:idx val="3"/>
          <c:order val="3"/>
          <c:tx>
            <c:strRef>
              <c:f>'morgan chart'!$B$8</c:f>
              <c:strCache>
                <c:ptCount val="1"/>
                <c:pt idx="0">
                  <c:v>31 DAT</c:v>
                </c:pt>
              </c:strCache>
            </c:strRef>
          </c:tx>
          <c:spPr>
            <a:solidFill>
              <a:schemeClr val="accent4"/>
            </a:solidFill>
            <a:ln>
              <a:noFill/>
            </a:ln>
            <a:effectLst/>
            <a:sp3d/>
          </c:spPr>
          <c:invertIfNegative val="0"/>
          <c:cat>
            <c:strRef>
              <c:f>'morgan chart'!$C$4:$Q$4</c:f>
              <c:strCache>
                <c:ptCount val="15"/>
                <c:pt idx="0">
                  <c:v>Control</c:v>
                </c:pt>
                <c:pt idx="1">
                  <c:v>Canopy</c:v>
                </c:pt>
                <c:pt idx="2">
                  <c:v>Prowl + Metz. plus Dual 21D P</c:v>
                </c:pt>
                <c:pt idx="3">
                  <c:v>Metribuzin </c:v>
                </c:pt>
                <c:pt idx="4">
                  <c:v>Boundary</c:v>
                </c:pt>
                <c:pt idx="5">
                  <c:v>Prowl</c:v>
                </c:pt>
                <c:pt idx="6">
                  <c:v>Boundary plus Dual 21D post</c:v>
                </c:pt>
                <c:pt idx="7">
                  <c:v>Fierce</c:v>
                </c:pt>
                <c:pt idx="8">
                  <c:v>Authority XL</c:v>
                </c:pt>
                <c:pt idx="9">
                  <c:v>BroadAxe plus Dual 21D post</c:v>
                </c:pt>
                <c:pt idx="10">
                  <c:v>Broad Axe</c:v>
                </c:pt>
                <c:pt idx="11">
                  <c:v>Valor and Dual Magnum (off-label)</c:v>
                </c:pt>
                <c:pt idx="12">
                  <c:v>Fierce plus Dual 21D post</c:v>
                </c:pt>
                <c:pt idx="13">
                  <c:v>Fierce XLT</c:v>
                </c:pt>
                <c:pt idx="14">
                  <c:v>Valor</c:v>
                </c:pt>
              </c:strCache>
            </c:strRef>
          </c:cat>
          <c:val>
            <c:numRef>
              <c:f>'morgan chart'!$C$8:$Q$8</c:f>
              <c:numCache>
                <c:formatCode>0.0</c:formatCode>
                <c:ptCount val="15"/>
                <c:pt idx="0">
                  <c:v>472.5</c:v>
                </c:pt>
                <c:pt idx="1">
                  <c:v>112.25</c:v>
                </c:pt>
                <c:pt idx="2">
                  <c:v>61.25</c:v>
                </c:pt>
                <c:pt idx="3">
                  <c:v>50.5</c:v>
                </c:pt>
                <c:pt idx="4">
                  <c:v>64.75</c:v>
                </c:pt>
                <c:pt idx="5">
                  <c:v>54.5</c:v>
                </c:pt>
                <c:pt idx="6">
                  <c:v>34</c:v>
                </c:pt>
                <c:pt idx="7">
                  <c:v>7.25</c:v>
                </c:pt>
                <c:pt idx="8">
                  <c:v>4.75</c:v>
                </c:pt>
                <c:pt idx="9">
                  <c:v>6</c:v>
                </c:pt>
                <c:pt idx="10">
                  <c:v>1</c:v>
                </c:pt>
                <c:pt idx="11">
                  <c:v>0.5</c:v>
                </c:pt>
                <c:pt idx="12">
                  <c:v>0.5</c:v>
                </c:pt>
                <c:pt idx="13">
                  <c:v>1.5</c:v>
                </c:pt>
                <c:pt idx="14">
                  <c:v>1.5</c:v>
                </c:pt>
              </c:numCache>
            </c:numRef>
          </c:val>
          <c:extLst>
            <c:ext xmlns:c16="http://schemas.microsoft.com/office/drawing/2014/chart" uri="{C3380CC4-5D6E-409C-BE32-E72D297353CC}">
              <c16:uniqueId val="{00000003-BA04-184B-A5C5-6043F8634003}"/>
            </c:ext>
          </c:extLst>
        </c:ser>
        <c:ser>
          <c:idx val="4"/>
          <c:order val="4"/>
          <c:tx>
            <c:strRef>
              <c:f>'morgan chart'!$B$9</c:f>
              <c:strCache>
                <c:ptCount val="1"/>
                <c:pt idx="0">
                  <c:v>38 DAT</c:v>
                </c:pt>
              </c:strCache>
            </c:strRef>
          </c:tx>
          <c:spPr>
            <a:solidFill>
              <a:schemeClr val="accent5"/>
            </a:solidFill>
            <a:ln>
              <a:noFill/>
            </a:ln>
            <a:effectLst/>
            <a:sp3d/>
          </c:spPr>
          <c:invertIfNegative val="0"/>
          <c:cat>
            <c:strRef>
              <c:f>'morgan chart'!$C$4:$Q$4</c:f>
              <c:strCache>
                <c:ptCount val="15"/>
                <c:pt idx="0">
                  <c:v>Control</c:v>
                </c:pt>
                <c:pt idx="1">
                  <c:v>Canopy</c:v>
                </c:pt>
                <c:pt idx="2">
                  <c:v>Prowl + Metz. plus Dual 21D P</c:v>
                </c:pt>
                <c:pt idx="3">
                  <c:v>Metribuzin </c:v>
                </c:pt>
                <c:pt idx="4">
                  <c:v>Boundary</c:v>
                </c:pt>
                <c:pt idx="5">
                  <c:v>Prowl</c:v>
                </c:pt>
                <c:pt idx="6">
                  <c:v>Boundary plus Dual 21D post</c:v>
                </c:pt>
                <c:pt idx="7">
                  <c:v>Fierce</c:v>
                </c:pt>
                <c:pt idx="8">
                  <c:v>Authority XL</c:v>
                </c:pt>
                <c:pt idx="9">
                  <c:v>BroadAxe plus Dual 21D post</c:v>
                </c:pt>
                <c:pt idx="10">
                  <c:v>Broad Axe</c:v>
                </c:pt>
                <c:pt idx="11">
                  <c:v>Valor and Dual Magnum (off-label)</c:v>
                </c:pt>
                <c:pt idx="12">
                  <c:v>Fierce plus Dual 21D post</c:v>
                </c:pt>
                <c:pt idx="13">
                  <c:v>Fierce XLT</c:v>
                </c:pt>
                <c:pt idx="14">
                  <c:v>Valor</c:v>
                </c:pt>
              </c:strCache>
            </c:strRef>
          </c:cat>
          <c:val>
            <c:numRef>
              <c:f>'morgan chart'!$C$9:$Q$9</c:f>
              <c:numCache>
                <c:formatCode>0.0</c:formatCode>
                <c:ptCount val="15"/>
                <c:pt idx="0">
                  <c:v>531</c:v>
                </c:pt>
                <c:pt idx="1">
                  <c:v>171.5</c:v>
                </c:pt>
                <c:pt idx="2">
                  <c:v>87.25</c:v>
                </c:pt>
                <c:pt idx="3">
                  <c:v>103.5</c:v>
                </c:pt>
                <c:pt idx="4">
                  <c:v>87.75</c:v>
                </c:pt>
                <c:pt idx="5">
                  <c:v>70</c:v>
                </c:pt>
                <c:pt idx="6">
                  <c:v>43.2</c:v>
                </c:pt>
                <c:pt idx="7">
                  <c:v>7</c:v>
                </c:pt>
                <c:pt idx="8">
                  <c:v>4.75</c:v>
                </c:pt>
                <c:pt idx="9">
                  <c:v>8.75</c:v>
                </c:pt>
                <c:pt idx="10">
                  <c:v>3.25</c:v>
                </c:pt>
                <c:pt idx="11">
                  <c:v>1.25</c:v>
                </c:pt>
                <c:pt idx="12">
                  <c:v>1.25</c:v>
                </c:pt>
                <c:pt idx="13">
                  <c:v>1.5</c:v>
                </c:pt>
                <c:pt idx="14">
                  <c:v>1</c:v>
                </c:pt>
              </c:numCache>
            </c:numRef>
          </c:val>
          <c:extLst>
            <c:ext xmlns:c16="http://schemas.microsoft.com/office/drawing/2014/chart" uri="{C3380CC4-5D6E-409C-BE32-E72D297353CC}">
              <c16:uniqueId val="{00000004-BA04-184B-A5C5-6043F8634003}"/>
            </c:ext>
          </c:extLst>
        </c:ser>
        <c:ser>
          <c:idx val="5"/>
          <c:order val="5"/>
          <c:tx>
            <c:strRef>
              <c:f>'morgan chart'!$B$10</c:f>
              <c:strCache>
                <c:ptCount val="1"/>
                <c:pt idx="0">
                  <c:v>45 DAT</c:v>
                </c:pt>
              </c:strCache>
            </c:strRef>
          </c:tx>
          <c:spPr>
            <a:solidFill>
              <a:schemeClr val="accent6"/>
            </a:solidFill>
            <a:ln>
              <a:noFill/>
            </a:ln>
            <a:effectLst/>
            <a:sp3d/>
          </c:spPr>
          <c:invertIfNegative val="0"/>
          <c:cat>
            <c:strRef>
              <c:f>'morgan chart'!$C$4:$Q$4</c:f>
              <c:strCache>
                <c:ptCount val="15"/>
                <c:pt idx="0">
                  <c:v>Control</c:v>
                </c:pt>
                <c:pt idx="1">
                  <c:v>Canopy</c:v>
                </c:pt>
                <c:pt idx="2">
                  <c:v>Prowl + Metz. plus Dual 21D P</c:v>
                </c:pt>
                <c:pt idx="3">
                  <c:v>Metribuzin </c:v>
                </c:pt>
                <c:pt idx="4">
                  <c:v>Boundary</c:v>
                </c:pt>
                <c:pt idx="5">
                  <c:v>Prowl</c:v>
                </c:pt>
                <c:pt idx="6">
                  <c:v>Boundary plus Dual 21D post</c:v>
                </c:pt>
                <c:pt idx="7">
                  <c:v>Fierce</c:v>
                </c:pt>
                <c:pt idx="8">
                  <c:v>Authority XL</c:v>
                </c:pt>
                <c:pt idx="9">
                  <c:v>BroadAxe plus Dual 21D post</c:v>
                </c:pt>
                <c:pt idx="10">
                  <c:v>Broad Axe</c:v>
                </c:pt>
                <c:pt idx="11">
                  <c:v>Valor and Dual Magnum (off-label)</c:v>
                </c:pt>
                <c:pt idx="12">
                  <c:v>Fierce plus Dual 21D post</c:v>
                </c:pt>
                <c:pt idx="13">
                  <c:v>Fierce XLT</c:v>
                </c:pt>
                <c:pt idx="14">
                  <c:v>Valor</c:v>
                </c:pt>
              </c:strCache>
            </c:strRef>
          </c:cat>
          <c:val>
            <c:numRef>
              <c:f>'morgan chart'!$C$10:$Q$10</c:f>
              <c:numCache>
                <c:formatCode>0.0</c:formatCode>
                <c:ptCount val="15"/>
                <c:pt idx="0">
                  <c:v>531</c:v>
                </c:pt>
                <c:pt idx="1">
                  <c:v>171.5</c:v>
                </c:pt>
                <c:pt idx="2">
                  <c:v>87</c:v>
                </c:pt>
                <c:pt idx="3">
                  <c:v>110.25</c:v>
                </c:pt>
                <c:pt idx="4">
                  <c:v>88.5</c:v>
                </c:pt>
                <c:pt idx="5">
                  <c:v>68.25</c:v>
                </c:pt>
                <c:pt idx="6">
                  <c:v>44.5</c:v>
                </c:pt>
                <c:pt idx="7">
                  <c:v>10</c:v>
                </c:pt>
                <c:pt idx="8">
                  <c:v>5.75</c:v>
                </c:pt>
                <c:pt idx="9">
                  <c:v>8.25</c:v>
                </c:pt>
                <c:pt idx="10">
                  <c:v>4</c:v>
                </c:pt>
                <c:pt idx="11">
                  <c:v>4</c:v>
                </c:pt>
                <c:pt idx="12">
                  <c:v>1.5</c:v>
                </c:pt>
                <c:pt idx="13">
                  <c:v>1.5</c:v>
                </c:pt>
                <c:pt idx="14">
                  <c:v>1.25</c:v>
                </c:pt>
              </c:numCache>
            </c:numRef>
          </c:val>
          <c:extLst>
            <c:ext xmlns:c16="http://schemas.microsoft.com/office/drawing/2014/chart" uri="{C3380CC4-5D6E-409C-BE32-E72D297353CC}">
              <c16:uniqueId val="{00000005-BA04-184B-A5C5-6043F8634003}"/>
            </c:ext>
          </c:extLst>
        </c:ser>
        <c:ser>
          <c:idx val="6"/>
          <c:order val="6"/>
          <c:tx>
            <c:strRef>
              <c:f>'morgan chart'!$B$11</c:f>
              <c:strCache>
                <c:ptCount val="1"/>
                <c:pt idx="0">
                  <c:v>59 DAT</c:v>
                </c:pt>
              </c:strCache>
            </c:strRef>
          </c:tx>
          <c:spPr>
            <a:solidFill>
              <a:schemeClr val="accent1">
                <a:lumMod val="60000"/>
              </a:schemeClr>
            </a:solidFill>
            <a:ln>
              <a:noFill/>
            </a:ln>
            <a:effectLst/>
            <a:sp3d/>
          </c:spPr>
          <c:invertIfNegative val="0"/>
          <c:cat>
            <c:strRef>
              <c:f>'morgan chart'!$C$4:$Q$4</c:f>
              <c:strCache>
                <c:ptCount val="15"/>
                <c:pt idx="0">
                  <c:v>Control</c:v>
                </c:pt>
                <c:pt idx="1">
                  <c:v>Canopy</c:v>
                </c:pt>
                <c:pt idx="2">
                  <c:v>Prowl + Metz. plus Dual 21D P</c:v>
                </c:pt>
                <c:pt idx="3">
                  <c:v>Metribuzin </c:v>
                </c:pt>
                <c:pt idx="4">
                  <c:v>Boundary</c:v>
                </c:pt>
                <c:pt idx="5">
                  <c:v>Prowl</c:v>
                </c:pt>
                <c:pt idx="6">
                  <c:v>Boundary plus Dual 21D post</c:v>
                </c:pt>
                <c:pt idx="7">
                  <c:v>Fierce</c:v>
                </c:pt>
                <c:pt idx="8">
                  <c:v>Authority XL</c:v>
                </c:pt>
                <c:pt idx="9">
                  <c:v>BroadAxe plus Dual 21D post</c:v>
                </c:pt>
                <c:pt idx="10">
                  <c:v>Broad Axe</c:v>
                </c:pt>
                <c:pt idx="11">
                  <c:v>Valor and Dual Magnum (off-label)</c:v>
                </c:pt>
                <c:pt idx="12">
                  <c:v>Fierce plus Dual 21D post</c:v>
                </c:pt>
                <c:pt idx="13">
                  <c:v>Fierce XLT</c:v>
                </c:pt>
                <c:pt idx="14">
                  <c:v>Valor</c:v>
                </c:pt>
              </c:strCache>
            </c:strRef>
          </c:cat>
          <c:val>
            <c:numRef>
              <c:f>'morgan chart'!$C$11:$Q$11</c:f>
              <c:numCache>
                <c:formatCode>0.0</c:formatCode>
                <c:ptCount val="15"/>
                <c:pt idx="0">
                  <c:v>599.75</c:v>
                </c:pt>
                <c:pt idx="1">
                  <c:v>152.75</c:v>
                </c:pt>
                <c:pt idx="2">
                  <c:v>99</c:v>
                </c:pt>
                <c:pt idx="3">
                  <c:v>78.75</c:v>
                </c:pt>
                <c:pt idx="4">
                  <c:v>73.75</c:v>
                </c:pt>
                <c:pt idx="5">
                  <c:v>60.75</c:v>
                </c:pt>
                <c:pt idx="6">
                  <c:v>54</c:v>
                </c:pt>
                <c:pt idx="7">
                  <c:v>10.25</c:v>
                </c:pt>
                <c:pt idx="8">
                  <c:v>7.25</c:v>
                </c:pt>
                <c:pt idx="9">
                  <c:v>4.75</c:v>
                </c:pt>
                <c:pt idx="10">
                  <c:v>3.5</c:v>
                </c:pt>
                <c:pt idx="11">
                  <c:v>3.25</c:v>
                </c:pt>
                <c:pt idx="12">
                  <c:v>2.5</c:v>
                </c:pt>
                <c:pt idx="13">
                  <c:v>1.75</c:v>
                </c:pt>
                <c:pt idx="14">
                  <c:v>0.75</c:v>
                </c:pt>
              </c:numCache>
            </c:numRef>
          </c:val>
          <c:extLst>
            <c:ext xmlns:c16="http://schemas.microsoft.com/office/drawing/2014/chart" uri="{C3380CC4-5D6E-409C-BE32-E72D297353CC}">
              <c16:uniqueId val="{00000006-BA04-184B-A5C5-6043F8634003}"/>
            </c:ext>
          </c:extLst>
        </c:ser>
        <c:ser>
          <c:idx val="7"/>
          <c:order val="7"/>
          <c:tx>
            <c:strRef>
              <c:f>'morgan chart'!$B$12</c:f>
              <c:strCache>
                <c:ptCount val="1"/>
              </c:strCache>
            </c:strRef>
          </c:tx>
          <c:spPr>
            <a:solidFill>
              <a:schemeClr val="accent2">
                <a:lumMod val="60000"/>
              </a:schemeClr>
            </a:solidFill>
            <a:ln>
              <a:noFill/>
            </a:ln>
            <a:effectLst/>
            <a:sp3d/>
          </c:spPr>
          <c:invertIfNegative val="0"/>
          <c:cat>
            <c:strRef>
              <c:f>'morgan chart'!$C$4:$Q$4</c:f>
              <c:strCache>
                <c:ptCount val="15"/>
                <c:pt idx="0">
                  <c:v>Control</c:v>
                </c:pt>
                <c:pt idx="1">
                  <c:v>Canopy</c:v>
                </c:pt>
                <c:pt idx="2">
                  <c:v>Prowl + Metz. plus Dual 21D P</c:v>
                </c:pt>
                <c:pt idx="3">
                  <c:v>Metribuzin </c:v>
                </c:pt>
                <c:pt idx="4">
                  <c:v>Boundary</c:v>
                </c:pt>
                <c:pt idx="5">
                  <c:v>Prowl</c:v>
                </c:pt>
                <c:pt idx="6">
                  <c:v>Boundary plus Dual 21D post</c:v>
                </c:pt>
                <c:pt idx="7">
                  <c:v>Fierce</c:v>
                </c:pt>
                <c:pt idx="8">
                  <c:v>Authority XL</c:v>
                </c:pt>
                <c:pt idx="9">
                  <c:v>BroadAxe plus Dual 21D post</c:v>
                </c:pt>
                <c:pt idx="10">
                  <c:v>Broad Axe</c:v>
                </c:pt>
                <c:pt idx="11">
                  <c:v>Valor and Dual Magnum (off-label)</c:v>
                </c:pt>
                <c:pt idx="12">
                  <c:v>Fierce plus Dual 21D post</c:v>
                </c:pt>
                <c:pt idx="13">
                  <c:v>Fierce XLT</c:v>
                </c:pt>
                <c:pt idx="14">
                  <c:v>Valor</c:v>
                </c:pt>
              </c:strCache>
            </c:strRef>
          </c:cat>
          <c:val>
            <c:numRef>
              <c:f>'morgan chart'!$C$12:$Q$12</c:f>
              <c:numCache>
                <c:formatCode>General</c:formatCode>
                <c:ptCount val="15"/>
              </c:numCache>
            </c:numRef>
          </c:val>
          <c:extLst>
            <c:ext xmlns:c16="http://schemas.microsoft.com/office/drawing/2014/chart" uri="{C3380CC4-5D6E-409C-BE32-E72D297353CC}">
              <c16:uniqueId val="{00000007-BA04-184B-A5C5-6043F8634003}"/>
            </c:ext>
          </c:extLst>
        </c:ser>
        <c:ser>
          <c:idx val="8"/>
          <c:order val="8"/>
          <c:tx>
            <c:strRef>
              <c:f>'morgan chart'!$B$13</c:f>
              <c:strCache>
                <c:ptCount val="1"/>
              </c:strCache>
            </c:strRef>
          </c:tx>
          <c:spPr>
            <a:solidFill>
              <a:schemeClr val="accent3">
                <a:lumMod val="60000"/>
              </a:schemeClr>
            </a:solidFill>
            <a:ln>
              <a:noFill/>
            </a:ln>
            <a:effectLst/>
            <a:sp3d/>
          </c:spPr>
          <c:invertIfNegative val="0"/>
          <c:cat>
            <c:strRef>
              <c:f>'morgan chart'!$C$4:$Q$4</c:f>
              <c:strCache>
                <c:ptCount val="15"/>
                <c:pt idx="0">
                  <c:v>Control</c:v>
                </c:pt>
                <c:pt idx="1">
                  <c:v>Canopy</c:v>
                </c:pt>
                <c:pt idx="2">
                  <c:v>Prowl + Metz. plus Dual 21D P</c:v>
                </c:pt>
                <c:pt idx="3">
                  <c:v>Metribuzin </c:v>
                </c:pt>
                <c:pt idx="4">
                  <c:v>Boundary</c:v>
                </c:pt>
                <c:pt idx="5">
                  <c:v>Prowl</c:v>
                </c:pt>
                <c:pt idx="6">
                  <c:v>Boundary plus Dual 21D post</c:v>
                </c:pt>
                <c:pt idx="7">
                  <c:v>Fierce</c:v>
                </c:pt>
                <c:pt idx="8">
                  <c:v>Authority XL</c:v>
                </c:pt>
                <c:pt idx="9">
                  <c:v>BroadAxe plus Dual 21D post</c:v>
                </c:pt>
                <c:pt idx="10">
                  <c:v>Broad Axe</c:v>
                </c:pt>
                <c:pt idx="11">
                  <c:v>Valor and Dual Magnum (off-label)</c:v>
                </c:pt>
                <c:pt idx="12">
                  <c:v>Fierce plus Dual 21D post</c:v>
                </c:pt>
                <c:pt idx="13">
                  <c:v>Fierce XLT</c:v>
                </c:pt>
                <c:pt idx="14">
                  <c:v>Valor</c:v>
                </c:pt>
              </c:strCache>
            </c:strRef>
          </c:cat>
          <c:val>
            <c:numRef>
              <c:f>'morgan chart'!$C$13:$Q$13</c:f>
              <c:numCache>
                <c:formatCode>General</c:formatCode>
                <c:ptCount val="15"/>
              </c:numCache>
            </c:numRef>
          </c:val>
          <c:extLst>
            <c:ext xmlns:c16="http://schemas.microsoft.com/office/drawing/2014/chart" uri="{C3380CC4-5D6E-409C-BE32-E72D297353CC}">
              <c16:uniqueId val="{00000008-BA04-184B-A5C5-6043F8634003}"/>
            </c:ext>
          </c:extLst>
        </c:ser>
        <c:dLbls>
          <c:showLegendKey val="0"/>
          <c:showVal val="0"/>
          <c:showCatName val="0"/>
          <c:showSerName val="0"/>
          <c:showPercent val="0"/>
          <c:showBubbleSize val="0"/>
        </c:dLbls>
        <c:gapWidth val="150"/>
        <c:shape val="box"/>
        <c:axId val="662288648"/>
        <c:axId val="662289432"/>
        <c:axId val="495037568"/>
      </c:bar3DChart>
      <c:catAx>
        <c:axId val="662288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Treatment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62289432"/>
        <c:crosses val="autoZero"/>
        <c:auto val="1"/>
        <c:lblAlgn val="ctr"/>
        <c:lblOffset val="100"/>
        <c:noMultiLvlLbl val="0"/>
      </c:catAx>
      <c:valAx>
        <c:axId val="662289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Plants</a:t>
                </a:r>
                <a:r>
                  <a:rPr lang="en-US" baseline="0"/>
                  <a:t> in area 5 ft. by 30 ft.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288648"/>
        <c:crosses val="autoZero"/>
        <c:crossBetween val="between"/>
      </c:valAx>
      <c:serAx>
        <c:axId val="495037568"/>
        <c:scaling>
          <c:orientation val="minMax"/>
        </c:scaling>
        <c:delete val="0"/>
        <c:axPos val="b"/>
        <c:title>
          <c:tx>
            <c:rich>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 after planting/treatment</a:t>
                </a:r>
              </a:p>
            </c:rich>
          </c:tx>
          <c:overlay val="0"/>
          <c:spPr>
            <a:noFill/>
            <a:ln>
              <a:noFill/>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62289432"/>
        <c:crosses val="autoZero"/>
        <c:tickLblSkip val="1"/>
      </c:serAx>
      <c:spPr>
        <a:noFill/>
        <a:ln>
          <a:noFill/>
        </a:ln>
        <a:effectLst/>
      </c:spPr>
    </c:plotArea>
    <c:legend>
      <c:legendPos val="b"/>
      <c:legendEntry>
        <c:idx val="7"/>
        <c:delete val="1"/>
      </c:legendEntry>
      <c:legendEntry>
        <c:idx val="8"/>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aseline="0"/>
              <a:t>Figure 1 </a:t>
            </a:r>
            <a:r>
              <a:rPr lang="en-US" sz="1400"/>
              <a:t>: 2017 Palmer Amaranth Control with Residual Herbicides</a:t>
            </a:r>
          </a:p>
          <a:p>
            <a:pPr>
              <a:defRPr/>
            </a:pPr>
            <a:r>
              <a:rPr lang="en-US" sz="1400"/>
              <a:t>Charles</a:t>
            </a:r>
            <a:r>
              <a:rPr lang="en-US" sz="1400" baseline="0"/>
              <a:t> County</a:t>
            </a:r>
            <a:endParaRPr lang="en-US" sz="1400"/>
          </a:p>
        </c:rich>
      </c:tx>
      <c:layout>
        <c:manualLayout>
          <c:xMode val="edge"/>
          <c:yMode val="edge"/>
          <c:x val="0.12541571886847477"/>
          <c:y val="3.82318136158906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'Bowling chart'!$B$5</c:f>
              <c:strCache>
                <c:ptCount val="1"/>
                <c:pt idx="0">
                  <c:v>10 DAT</c:v>
                </c:pt>
              </c:strCache>
            </c:strRef>
          </c:tx>
          <c:spPr>
            <a:solidFill>
              <a:schemeClr val="accent1"/>
            </a:solidFill>
            <a:ln>
              <a:noFill/>
            </a:ln>
            <a:effectLst/>
            <a:sp3d/>
          </c:spPr>
          <c:invertIfNegative val="0"/>
          <c:cat>
            <c:strRef>
              <c:f>'Bowling chart'!$C$4:$Q$4</c:f>
              <c:strCache>
                <c:ptCount val="15"/>
                <c:pt idx="0">
                  <c:v>Control</c:v>
                </c:pt>
                <c:pt idx="1">
                  <c:v>Prowl</c:v>
                </c:pt>
                <c:pt idx="2">
                  <c:v>Metribuzin </c:v>
                </c:pt>
                <c:pt idx="3">
                  <c:v>Canopy</c:v>
                </c:pt>
                <c:pt idx="4">
                  <c:v>Prowl + Metz. plus Dual 21D P</c:v>
                </c:pt>
                <c:pt idx="5">
                  <c:v>Boundary</c:v>
                </c:pt>
                <c:pt idx="6">
                  <c:v>Valor</c:v>
                </c:pt>
                <c:pt idx="7">
                  <c:v>Boundary plus Dual 21D post</c:v>
                </c:pt>
                <c:pt idx="8">
                  <c:v>Authority XL</c:v>
                </c:pt>
                <c:pt idx="9">
                  <c:v>BroadAxe plus Dual 21D post</c:v>
                </c:pt>
                <c:pt idx="10">
                  <c:v>Broad Axe</c:v>
                </c:pt>
                <c:pt idx="11">
                  <c:v>Valor and Dual Magnum (off-label)</c:v>
                </c:pt>
                <c:pt idx="12">
                  <c:v>Fierce XLT</c:v>
                </c:pt>
                <c:pt idx="13">
                  <c:v>Fierce</c:v>
                </c:pt>
                <c:pt idx="14">
                  <c:v>Fierce plus Dual 21D post</c:v>
                </c:pt>
              </c:strCache>
            </c:strRef>
          </c:cat>
          <c:val>
            <c:numRef>
              <c:f>'Bowling chart'!$C$5:$Q$5</c:f>
              <c:numCache>
                <c:formatCode>0</c:formatCode>
                <c:ptCount val="15"/>
                <c:pt idx="0">
                  <c:v>29.333333333333332</c:v>
                </c:pt>
                <c:pt idx="1">
                  <c:v>9.3333333333333339</c:v>
                </c:pt>
                <c:pt idx="2">
                  <c:v>0.25</c:v>
                </c:pt>
                <c:pt idx="3">
                  <c:v>0.75</c:v>
                </c:pt>
                <c:pt idx="4">
                  <c:v>0</c:v>
                </c:pt>
                <c:pt idx="5">
                  <c:v>0.75</c:v>
                </c:pt>
                <c:pt idx="6">
                  <c:v>0.25</c:v>
                </c:pt>
                <c:pt idx="7">
                  <c:v>1</c:v>
                </c:pt>
                <c:pt idx="8">
                  <c:v>0.75</c:v>
                </c:pt>
                <c:pt idx="9">
                  <c:v>0.66666666666666663</c:v>
                </c:pt>
                <c:pt idx="10">
                  <c:v>0.25</c:v>
                </c:pt>
                <c:pt idx="11">
                  <c:v>0</c:v>
                </c:pt>
                <c:pt idx="12">
                  <c:v>0</c:v>
                </c:pt>
                <c:pt idx="13">
                  <c:v>0</c:v>
                </c:pt>
                <c:pt idx="14">
                  <c:v>0</c:v>
                </c:pt>
              </c:numCache>
            </c:numRef>
          </c:val>
          <c:extLst>
            <c:ext xmlns:c16="http://schemas.microsoft.com/office/drawing/2014/chart" uri="{C3380CC4-5D6E-409C-BE32-E72D297353CC}">
              <c16:uniqueId val="{00000000-94AE-6046-918A-EC709C7DF0A9}"/>
            </c:ext>
          </c:extLst>
        </c:ser>
        <c:ser>
          <c:idx val="1"/>
          <c:order val="1"/>
          <c:tx>
            <c:strRef>
              <c:f>'Bowling chart'!$B$6</c:f>
              <c:strCache>
                <c:ptCount val="1"/>
                <c:pt idx="0">
                  <c:v>17 DAT</c:v>
                </c:pt>
              </c:strCache>
            </c:strRef>
          </c:tx>
          <c:spPr>
            <a:solidFill>
              <a:schemeClr val="accent2"/>
            </a:solidFill>
            <a:ln>
              <a:noFill/>
            </a:ln>
            <a:effectLst/>
            <a:sp3d/>
          </c:spPr>
          <c:invertIfNegative val="0"/>
          <c:cat>
            <c:strRef>
              <c:f>'Bowling chart'!$C$4:$Q$4</c:f>
              <c:strCache>
                <c:ptCount val="15"/>
                <c:pt idx="0">
                  <c:v>Control</c:v>
                </c:pt>
                <c:pt idx="1">
                  <c:v>Prowl</c:v>
                </c:pt>
                <c:pt idx="2">
                  <c:v>Metribuzin </c:v>
                </c:pt>
                <c:pt idx="3">
                  <c:v>Canopy</c:v>
                </c:pt>
                <c:pt idx="4">
                  <c:v>Prowl + Metz. plus Dual 21D P</c:v>
                </c:pt>
                <c:pt idx="5">
                  <c:v>Boundary</c:v>
                </c:pt>
                <c:pt idx="6">
                  <c:v>Valor</c:v>
                </c:pt>
                <c:pt idx="7">
                  <c:v>Boundary plus Dual 21D post</c:v>
                </c:pt>
                <c:pt idx="8">
                  <c:v>Authority XL</c:v>
                </c:pt>
                <c:pt idx="9">
                  <c:v>BroadAxe plus Dual 21D post</c:v>
                </c:pt>
                <c:pt idx="10">
                  <c:v>Broad Axe</c:v>
                </c:pt>
                <c:pt idx="11">
                  <c:v>Valor and Dual Magnum (off-label)</c:v>
                </c:pt>
                <c:pt idx="12">
                  <c:v>Fierce XLT</c:v>
                </c:pt>
                <c:pt idx="13">
                  <c:v>Fierce</c:v>
                </c:pt>
                <c:pt idx="14">
                  <c:v>Fierce plus Dual 21D post</c:v>
                </c:pt>
              </c:strCache>
            </c:strRef>
          </c:cat>
          <c:val>
            <c:numRef>
              <c:f>'Bowling chart'!$C$6:$Q$6</c:f>
              <c:numCache>
                <c:formatCode>0</c:formatCode>
                <c:ptCount val="15"/>
                <c:pt idx="0">
                  <c:v>70.75</c:v>
                </c:pt>
                <c:pt idx="1">
                  <c:v>23.666666666666668</c:v>
                </c:pt>
                <c:pt idx="2">
                  <c:v>3.5</c:v>
                </c:pt>
                <c:pt idx="3">
                  <c:v>4.5</c:v>
                </c:pt>
                <c:pt idx="4">
                  <c:v>5.5</c:v>
                </c:pt>
                <c:pt idx="5">
                  <c:v>1.75</c:v>
                </c:pt>
                <c:pt idx="6">
                  <c:v>0.5</c:v>
                </c:pt>
                <c:pt idx="7">
                  <c:v>0.5</c:v>
                </c:pt>
                <c:pt idx="8">
                  <c:v>2.5</c:v>
                </c:pt>
                <c:pt idx="9">
                  <c:v>1.3333333333333333</c:v>
                </c:pt>
                <c:pt idx="10">
                  <c:v>0.75</c:v>
                </c:pt>
                <c:pt idx="11">
                  <c:v>0</c:v>
                </c:pt>
                <c:pt idx="12">
                  <c:v>0.5</c:v>
                </c:pt>
                <c:pt idx="13">
                  <c:v>0</c:v>
                </c:pt>
                <c:pt idx="14">
                  <c:v>0.25</c:v>
                </c:pt>
              </c:numCache>
            </c:numRef>
          </c:val>
          <c:extLst>
            <c:ext xmlns:c16="http://schemas.microsoft.com/office/drawing/2014/chart" uri="{C3380CC4-5D6E-409C-BE32-E72D297353CC}">
              <c16:uniqueId val="{00000001-94AE-6046-918A-EC709C7DF0A9}"/>
            </c:ext>
          </c:extLst>
        </c:ser>
        <c:ser>
          <c:idx val="2"/>
          <c:order val="2"/>
          <c:tx>
            <c:strRef>
              <c:f>'Bowling chart'!$B$7</c:f>
              <c:strCache>
                <c:ptCount val="1"/>
                <c:pt idx="0">
                  <c:v>24 DAT</c:v>
                </c:pt>
              </c:strCache>
            </c:strRef>
          </c:tx>
          <c:spPr>
            <a:solidFill>
              <a:schemeClr val="accent3"/>
            </a:solidFill>
            <a:ln>
              <a:noFill/>
            </a:ln>
            <a:effectLst/>
            <a:sp3d/>
          </c:spPr>
          <c:invertIfNegative val="0"/>
          <c:cat>
            <c:strRef>
              <c:f>'Bowling chart'!$C$4:$Q$4</c:f>
              <c:strCache>
                <c:ptCount val="15"/>
                <c:pt idx="0">
                  <c:v>Control</c:v>
                </c:pt>
                <c:pt idx="1">
                  <c:v>Prowl</c:v>
                </c:pt>
                <c:pt idx="2">
                  <c:v>Metribuzin </c:v>
                </c:pt>
                <c:pt idx="3">
                  <c:v>Canopy</c:v>
                </c:pt>
                <c:pt idx="4">
                  <c:v>Prowl + Metz. plus Dual 21D P</c:v>
                </c:pt>
                <c:pt idx="5">
                  <c:v>Boundary</c:v>
                </c:pt>
                <c:pt idx="6">
                  <c:v>Valor</c:v>
                </c:pt>
                <c:pt idx="7">
                  <c:v>Boundary plus Dual 21D post</c:v>
                </c:pt>
                <c:pt idx="8">
                  <c:v>Authority XL</c:v>
                </c:pt>
                <c:pt idx="9">
                  <c:v>BroadAxe plus Dual 21D post</c:v>
                </c:pt>
                <c:pt idx="10">
                  <c:v>Broad Axe</c:v>
                </c:pt>
                <c:pt idx="11">
                  <c:v>Valor and Dual Magnum (off-label)</c:v>
                </c:pt>
                <c:pt idx="12">
                  <c:v>Fierce XLT</c:v>
                </c:pt>
                <c:pt idx="13">
                  <c:v>Fierce</c:v>
                </c:pt>
                <c:pt idx="14">
                  <c:v>Fierce plus Dual 21D post</c:v>
                </c:pt>
              </c:strCache>
            </c:strRef>
          </c:cat>
          <c:val>
            <c:numRef>
              <c:f>'Bowling chart'!$C$7:$Q$7</c:f>
              <c:numCache>
                <c:formatCode>0</c:formatCode>
                <c:ptCount val="15"/>
                <c:pt idx="0">
                  <c:v>79.25</c:v>
                </c:pt>
                <c:pt idx="1">
                  <c:v>32</c:v>
                </c:pt>
                <c:pt idx="2">
                  <c:v>16.5</c:v>
                </c:pt>
                <c:pt idx="3">
                  <c:v>16.5</c:v>
                </c:pt>
                <c:pt idx="4">
                  <c:v>9.75</c:v>
                </c:pt>
                <c:pt idx="5">
                  <c:v>4</c:v>
                </c:pt>
                <c:pt idx="6">
                  <c:v>0.75</c:v>
                </c:pt>
                <c:pt idx="7">
                  <c:v>4</c:v>
                </c:pt>
                <c:pt idx="8">
                  <c:v>4.5</c:v>
                </c:pt>
                <c:pt idx="9">
                  <c:v>1.6666666666666667</c:v>
                </c:pt>
                <c:pt idx="10">
                  <c:v>1.75</c:v>
                </c:pt>
                <c:pt idx="11">
                  <c:v>0</c:v>
                </c:pt>
                <c:pt idx="12">
                  <c:v>0.5</c:v>
                </c:pt>
                <c:pt idx="13">
                  <c:v>0.66666666666666663</c:v>
                </c:pt>
                <c:pt idx="14">
                  <c:v>0.5</c:v>
                </c:pt>
              </c:numCache>
            </c:numRef>
          </c:val>
          <c:extLst>
            <c:ext xmlns:c16="http://schemas.microsoft.com/office/drawing/2014/chart" uri="{C3380CC4-5D6E-409C-BE32-E72D297353CC}">
              <c16:uniqueId val="{00000002-94AE-6046-918A-EC709C7DF0A9}"/>
            </c:ext>
          </c:extLst>
        </c:ser>
        <c:ser>
          <c:idx val="3"/>
          <c:order val="3"/>
          <c:tx>
            <c:strRef>
              <c:f>'Bowling chart'!$B$8</c:f>
              <c:strCache>
                <c:ptCount val="1"/>
                <c:pt idx="0">
                  <c:v>31 DAT</c:v>
                </c:pt>
              </c:strCache>
            </c:strRef>
          </c:tx>
          <c:spPr>
            <a:solidFill>
              <a:schemeClr val="accent4"/>
            </a:solidFill>
            <a:ln>
              <a:noFill/>
            </a:ln>
            <a:effectLst/>
            <a:sp3d/>
          </c:spPr>
          <c:invertIfNegative val="0"/>
          <c:cat>
            <c:strRef>
              <c:f>'Bowling chart'!$C$4:$Q$4</c:f>
              <c:strCache>
                <c:ptCount val="15"/>
                <c:pt idx="0">
                  <c:v>Control</c:v>
                </c:pt>
                <c:pt idx="1">
                  <c:v>Prowl</c:v>
                </c:pt>
                <c:pt idx="2">
                  <c:v>Metribuzin </c:v>
                </c:pt>
                <c:pt idx="3">
                  <c:v>Canopy</c:v>
                </c:pt>
                <c:pt idx="4">
                  <c:v>Prowl + Metz. plus Dual 21D P</c:v>
                </c:pt>
                <c:pt idx="5">
                  <c:v>Boundary</c:v>
                </c:pt>
                <c:pt idx="6">
                  <c:v>Valor</c:v>
                </c:pt>
                <c:pt idx="7">
                  <c:v>Boundary plus Dual 21D post</c:v>
                </c:pt>
                <c:pt idx="8">
                  <c:v>Authority XL</c:v>
                </c:pt>
                <c:pt idx="9">
                  <c:v>BroadAxe plus Dual 21D post</c:v>
                </c:pt>
                <c:pt idx="10">
                  <c:v>Broad Axe</c:v>
                </c:pt>
                <c:pt idx="11">
                  <c:v>Valor and Dual Magnum (off-label)</c:v>
                </c:pt>
                <c:pt idx="12">
                  <c:v>Fierce XLT</c:v>
                </c:pt>
                <c:pt idx="13">
                  <c:v>Fierce</c:v>
                </c:pt>
                <c:pt idx="14">
                  <c:v>Fierce plus Dual 21D post</c:v>
                </c:pt>
              </c:strCache>
            </c:strRef>
          </c:cat>
          <c:val>
            <c:numRef>
              <c:f>'Bowling chart'!$C$8:$Q$8</c:f>
              <c:numCache>
                <c:formatCode>0</c:formatCode>
                <c:ptCount val="15"/>
                <c:pt idx="0">
                  <c:v>86.25</c:v>
                </c:pt>
                <c:pt idx="1">
                  <c:v>38.333333333333336</c:v>
                </c:pt>
                <c:pt idx="2">
                  <c:v>36.5</c:v>
                </c:pt>
                <c:pt idx="3">
                  <c:v>30.5</c:v>
                </c:pt>
                <c:pt idx="4">
                  <c:v>11.75</c:v>
                </c:pt>
                <c:pt idx="5">
                  <c:v>12.5</c:v>
                </c:pt>
                <c:pt idx="6">
                  <c:v>5.25</c:v>
                </c:pt>
                <c:pt idx="7">
                  <c:v>8.25</c:v>
                </c:pt>
                <c:pt idx="8">
                  <c:v>7.25</c:v>
                </c:pt>
                <c:pt idx="9">
                  <c:v>8</c:v>
                </c:pt>
                <c:pt idx="10">
                  <c:v>8</c:v>
                </c:pt>
                <c:pt idx="11">
                  <c:v>0.5</c:v>
                </c:pt>
                <c:pt idx="12">
                  <c:v>0.5</c:v>
                </c:pt>
                <c:pt idx="13">
                  <c:v>1.3333333333333333</c:v>
                </c:pt>
                <c:pt idx="14">
                  <c:v>0.75</c:v>
                </c:pt>
              </c:numCache>
            </c:numRef>
          </c:val>
          <c:extLst>
            <c:ext xmlns:c16="http://schemas.microsoft.com/office/drawing/2014/chart" uri="{C3380CC4-5D6E-409C-BE32-E72D297353CC}">
              <c16:uniqueId val="{00000003-94AE-6046-918A-EC709C7DF0A9}"/>
            </c:ext>
          </c:extLst>
        </c:ser>
        <c:ser>
          <c:idx val="4"/>
          <c:order val="4"/>
          <c:tx>
            <c:strRef>
              <c:f>'Bowling chart'!$B$9</c:f>
              <c:strCache>
                <c:ptCount val="1"/>
                <c:pt idx="0">
                  <c:v>38 DAT</c:v>
                </c:pt>
              </c:strCache>
            </c:strRef>
          </c:tx>
          <c:spPr>
            <a:solidFill>
              <a:schemeClr val="accent5"/>
            </a:solidFill>
            <a:ln>
              <a:noFill/>
            </a:ln>
            <a:effectLst/>
            <a:sp3d/>
          </c:spPr>
          <c:invertIfNegative val="0"/>
          <c:cat>
            <c:strRef>
              <c:f>'Bowling chart'!$C$4:$Q$4</c:f>
              <c:strCache>
                <c:ptCount val="15"/>
                <c:pt idx="0">
                  <c:v>Control</c:v>
                </c:pt>
                <c:pt idx="1">
                  <c:v>Prowl</c:v>
                </c:pt>
                <c:pt idx="2">
                  <c:v>Metribuzin </c:v>
                </c:pt>
                <c:pt idx="3">
                  <c:v>Canopy</c:v>
                </c:pt>
                <c:pt idx="4">
                  <c:v>Prowl + Metz. plus Dual 21D P</c:v>
                </c:pt>
                <c:pt idx="5">
                  <c:v>Boundary</c:v>
                </c:pt>
                <c:pt idx="6">
                  <c:v>Valor</c:v>
                </c:pt>
                <c:pt idx="7">
                  <c:v>Boundary plus Dual 21D post</c:v>
                </c:pt>
                <c:pt idx="8">
                  <c:v>Authority XL</c:v>
                </c:pt>
                <c:pt idx="9">
                  <c:v>BroadAxe plus Dual 21D post</c:v>
                </c:pt>
                <c:pt idx="10">
                  <c:v>Broad Axe</c:v>
                </c:pt>
                <c:pt idx="11">
                  <c:v>Valor and Dual Magnum (off-label)</c:v>
                </c:pt>
                <c:pt idx="12">
                  <c:v>Fierce XLT</c:v>
                </c:pt>
                <c:pt idx="13">
                  <c:v>Fierce</c:v>
                </c:pt>
                <c:pt idx="14">
                  <c:v>Fierce plus Dual 21D post</c:v>
                </c:pt>
              </c:strCache>
            </c:strRef>
          </c:cat>
          <c:val>
            <c:numRef>
              <c:f>'Bowling chart'!$C$9:$Q$9</c:f>
              <c:numCache>
                <c:formatCode>0</c:formatCode>
                <c:ptCount val="15"/>
                <c:pt idx="0">
                  <c:v>80.25</c:v>
                </c:pt>
                <c:pt idx="1">
                  <c:v>37.333333333333336</c:v>
                </c:pt>
                <c:pt idx="2">
                  <c:v>37</c:v>
                </c:pt>
                <c:pt idx="3">
                  <c:v>35</c:v>
                </c:pt>
                <c:pt idx="4">
                  <c:v>11</c:v>
                </c:pt>
                <c:pt idx="5">
                  <c:v>15.25</c:v>
                </c:pt>
                <c:pt idx="6">
                  <c:v>7.25</c:v>
                </c:pt>
                <c:pt idx="7">
                  <c:v>9.25</c:v>
                </c:pt>
                <c:pt idx="8">
                  <c:v>10.5</c:v>
                </c:pt>
                <c:pt idx="9">
                  <c:v>10.333333333333334</c:v>
                </c:pt>
                <c:pt idx="10">
                  <c:v>9.75</c:v>
                </c:pt>
                <c:pt idx="11">
                  <c:v>1</c:v>
                </c:pt>
                <c:pt idx="12">
                  <c:v>1.75</c:v>
                </c:pt>
                <c:pt idx="13">
                  <c:v>2.6666666666666665</c:v>
                </c:pt>
                <c:pt idx="14">
                  <c:v>1</c:v>
                </c:pt>
              </c:numCache>
            </c:numRef>
          </c:val>
          <c:extLst>
            <c:ext xmlns:c16="http://schemas.microsoft.com/office/drawing/2014/chart" uri="{C3380CC4-5D6E-409C-BE32-E72D297353CC}">
              <c16:uniqueId val="{00000004-94AE-6046-918A-EC709C7DF0A9}"/>
            </c:ext>
          </c:extLst>
        </c:ser>
        <c:ser>
          <c:idx val="5"/>
          <c:order val="5"/>
          <c:tx>
            <c:strRef>
              <c:f>'Bowling chart'!$B$10</c:f>
              <c:strCache>
                <c:ptCount val="1"/>
                <c:pt idx="0">
                  <c:v>45 DAT</c:v>
                </c:pt>
              </c:strCache>
            </c:strRef>
          </c:tx>
          <c:spPr>
            <a:solidFill>
              <a:schemeClr val="accent6"/>
            </a:solidFill>
            <a:ln>
              <a:noFill/>
            </a:ln>
            <a:effectLst/>
            <a:sp3d/>
          </c:spPr>
          <c:invertIfNegative val="0"/>
          <c:cat>
            <c:strRef>
              <c:f>'Bowling chart'!$C$4:$Q$4</c:f>
              <c:strCache>
                <c:ptCount val="15"/>
                <c:pt idx="0">
                  <c:v>Control</c:v>
                </c:pt>
                <c:pt idx="1">
                  <c:v>Prowl</c:v>
                </c:pt>
                <c:pt idx="2">
                  <c:v>Metribuzin </c:v>
                </c:pt>
                <c:pt idx="3">
                  <c:v>Canopy</c:v>
                </c:pt>
                <c:pt idx="4">
                  <c:v>Prowl + Metz. plus Dual 21D P</c:v>
                </c:pt>
                <c:pt idx="5">
                  <c:v>Boundary</c:v>
                </c:pt>
                <c:pt idx="6">
                  <c:v>Valor</c:v>
                </c:pt>
                <c:pt idx="7">
                  <c:v>Boundary plus Dual 21D post</c:v>
                </c:pt>
                <c:pt idx="8">
                  <c:v>Authority XL</c:v>
                </c:pt>
                <c:pt idx="9">
                  <c:v>BroadAxe plus Dual 21D post</c:v>
                </c:pt>
                <c:pt idx="10">
                  <c:v>Broad Axe</c:v>
                </c:pt>
                <c:pt idx="11">
                  <c:v>Valor and Dual Magnum (off-label)</c:v>
                </c:pt>
                <c:pt idx="12">
                  <c:v>Fierce XLT</c:v>
                </c:pt>
                <c:pt idx="13">
                  <c:v>Fierce</c:v>
                </c:pt>
                <c:pt idx="14">
                  <c:v>Fierce plus Dual 21D post</c:v>
                </c:pt>
              </c:strCache>
            </c:strRef>
          </c:cat>
          <c:val>
            <c:numRef>
              <c:f>'Bowling chart'!$C$10:$Q$10</c:f>
              <c:numCache>
                <c:formatCode>0</c:formatCode>
                <c:ptCount val="15"/>
                <c:pt idx="0">
                  <c:v>80.25</c:v>
                </c:pt>
                <c:pt idx="1">
                  <c:v>37.333333333333336</c:v>
                </c:pt>
                <c:pt idx="2">
                  <c:v>36.75</c:v>
                </c:pt>
                <c:pt idx="3">
                  <c:v>30.75</c:v>
                </c:pt>
                <c:pt idx="4">
                  <c:v>14.75</c:v>
                </c:pt>
                <c:pt idx="5">
                  <c:v>15.5</c:v>
                </c:pt>
                <c:pt idx="6">
                  <c:v>7.25</c:v>
                </c:pt>
                <c:pt idx="7">
                  <c:v>9.25</c:v>
                </c:pt>
                <c:pt idx="8">
                  <c:v>10</c:v>
                </c:pt>
                <c:pt idx="9">
                  <c:v>9.6666666666666661</c:v>
                </c:pt>
                <c:pt idx="10">
                  <c:v>10</c:v>
                </c:pt>
                <c:pt idx="11">
                  <c:v>1</c:v>
                </c:pt>
                <c:pt idx="12">
                  <c:v>2</c:v>
                </c:pt>
                <c:pt idx="13">
                  <c:v>2.6666666666666665</c:v>
                </c:pt>
                <c:pt idx="14">
                  <c:v>0.75</c:v>
                </c:pt>
              </c:numCache>
            </c:numRef>
          </c:val>
          <c:extLst>
            <c:ext xmlns:c16="http://schemas.microsoft.com/office/drawing/2014/chart" uri="{C3380CC4-5D6E-409C-BE32-E72D297353CC}">
              <c16:uniqueId val="{00000005-94AE-6046-918A-EC709C7DF0A9}"/>
            </c:ext>
          </c:extLst>
        </c:ser>
        <c:ser>
          <c:idx val="6"/>
          <c:order val="6"/>
          <c:tx>
            <c:strRef>
              <c:f>'Bowling chart'!$B$11</c:f>
              <c:strCache>
                <c:ptCount val="1"/>
                <c:pt idx="0">
                  <c:v>52 DAT</c:v>
                </c:pt>
              </c:strCache>
            </c:strRef>
          </c:tx>
          <c:spPr>
            <a:solidFill>
              <a:schemeClr val="accent1">
                <a:lumMod val="60000"/>
              </a:schemeClr>
            </a:solidFill>
            <a:ln>
              <a:noFill/>
            </a:ln>
            <a:effectLst/>
            <a:sp3d/>
          </c:spPr>
          <c:invertIfNegative val="0"/>
          <c:cat>
            <c:strRef>
              <c:f>'Bowling chart'!$C$4:$Q$4</c:f>
              <c:strCache>
                <c:ptCount val="15"/>
                <c:pt idx="0">
                  <c:v>Control</c:v>
                </c:pt>
                <c:pt idx="1">
                  <c:v>Prowl</c:v>
                </c:pt>
                <c:pt idx="2">
                  <c:v>Metribuzin </c:v>
                </c:pt>
                <c:pt idx="3">
                  <c:v>Canopy</c:v>
                </c:pt>
                <c:pt idx="4">
                  <c:v>Prowl + Metz. plus Dual 21D P</c:v>
                </c:pt>
                <c:pt idx="5">
                  <c:v>Boundary</c:v>
                </c:pt>
                <c:pt idx="6">
                  <c:v>Valor</c:v>
                </c:pt>
                <c:pt idx="7">
                  <c:v>Boundary plus Dual 21D post</c:v>
                </c:pt>
                <c:pt idx="8">
                  <c:v>Authority XL</c:v>
                </c:pt>
                <c:pt idx="9">
                  <c:v>BroadAxe plus Dual 21D post</c:v>
                </c:pt>
                <c:pt idx="10">
                  <c:v>Broad Axe</c:v>
                </c:pt>
                <c:pt idx="11">
                  <c:v>Valor and Dual Magnum (off-label)</c:v>
                </c:pt>
                <c:pt idx="12">
                  <c:v>Fierce XLT</c:v>
                </c:pt>
                <c:pt idx="13">
                  <c:v>Fierce</c:v>
                </c:pt>
                <c:pt idx="14">
                  <c:v>Fierce plus Dual 21D post</c:v>
                </c:pt>
              </c:strCache>
            </c:strRef>
          </c:cat>
          <c:val>
            <c:numRef>
              <c:f>'Bowling chart'!$C$11:$Q$11</c:f>
              <c:numCache>
                <c:formatCode>0</c:formatCode>
                <c:ptCount val="15"/>
                <c:pt idx="0">
                  <c:v>67.5</c:v>
                </c:pt>
                <c:pt idx="1">
                  <c:v>36.333333333333336</c:v>
                </c:pt>
                <c:pt idx="2">
                  <c:v>32</c:v>
                </c:pt>
                <c:pt idx="3">
                  <c:v>25.5</c:v>
                </c:pt>
                <c:pt idx="4">
                  <c:v>16.75</c:v>
                </c:pt>
                <c:pt idx="5">
                  <c:v>15.5</c:v>
                </c:pt>
                <c:pt idx="6">
                  <c:v>12</c:v>
                </c:pt>
                <c:pt idx="7">
                  <c:v>10.5</c:v>
                </c:pt>
                <c:pt idx="8">
                  <c:v>9.5</c:v>
                </c:pt>
                <c:pt idx="9">
                  <c:v>9.6666666666666661</c:v>
                </c:pt>
                <c:pt idx="10">
                  <c:v>9.75</c:v>
                </c:pt>
                <c:pt idx="11">
                  <c:v>5</c:v>
                </c:pt>
                <c:pt idx="12">
                  <c:v>2</c:v>
                </c:pt>
                <c:pt idx="13">
                  <c:v>3.3333333333333335</c:v>
                </c:pt>
                <c:pt idx="14">
                  <c:v>1</c:v>
                </c:pt>
              </c:numCache>
            </c:numRef>
          </c:val>
          <c:extLst>
            <c:ext xmlns:c16="http://schemas.microsoft.com/office/drawing/2014/chart" uri="{C3380CC4-5D6E-409C-BE32-E72D297353CC}">
              <c16:uniqueId val="{00000006-94AE-6046-918A-EC709C7DF0A9}"/>
            </c:ext>
          </c:extLst>
        </c:ser>
        <c:ser>
          <c:idx val="7"/>
          <c:order val="7"/>
          <c:tx>
            <c:strRef>
              <c:f>'Bowling chart'!$B$12</c:f>
              <c:strCache>
                <c:ptCount val="1"/>
                <c:pt idx="0">
                  <c:v>59 DAT</c:v>
                </c:pt>
              </c:strCache>
            </c:strRef>
          </c:tx>
          <c:spPr>
            <a:solidFill>
              <a:schemeClr val="accent2">
                <a:lumMod val="60000"/>
              </a:schemeClr>
            </a:solidFill>
            <a:ln>
              <a:noFill/>
            </a:ln>
            <a:effectLst/>
            <a:sp3d/>
          </c:spPr>
          <c:invertIfNegative val="0"/>
          <c:cat>
            <c:strRef>
              <c:f>'Bowling chart'!$C$4:$Q$4</c:f>
              <c:strCache>
                <c:ptCount val="15"/>
                <c:pt idx="0">
                  <c:v>Control</c:v>
                </c:pt>
                <c:pt idx="1">
                  <c:v>Prowl</c:v>
                </c:pt>
                <c:pt idx="2">
                  <c:v>Metribuzin </c:v>
                </c:pt>
                <c:pt idx="3">
                  <c:v>Canopy</c:v>
                </c:pt>
                <c:pt idx="4">
                  <c:v>Prowl + Metz. plus Dual 21D P</c:v>
                </c:pt>
                <c:pt idx="5">
                  <c:v>Boundary</c:v>
                </c:pt>
                <c:pt idx="6">
                  <c:v>Valor</c:v>
                </c:pt>
                <c:pt idx="7">
                  <c:v>Boundary plus Dual 21D post</c:v>
                </c:pt>
                <c:pt idx="8">
                  <c:v>Authority XL</c:v>
                </c:pt>
                <c:pt idx="9">
                  <c:v>BroadAxe plus Dual 21D post</c:v>
                </c:pt>
                <c:pt idx="10">
                  <c:v>Broad Axe</c:v>
                </c:pt>
                <c:pt idx="11">
                  <c:v>Valor and Dual Magnum (off-label)</c:v>
                </c:pt>
                <c:pt idx="12">
                  <c:v>Fierce XLT</c:v>
                </c:pt>
                <c:pt idx="13">
                  <c:v>Fierce</c:v>
                </c:pt>
                <c:pt idx="14">
                  <c:v>Fierce plus Dual 21D post</c:v>
                </c:pt>
              </c:strCache>
            </c:strRef>
          </c:cat>
          <c:val>
            <c:numRef>
              <c:f>'Bowling chart'!$C$12:$Q$12</c:f>
              <c:numCache>
                <c:formatCode>0</c:formatCode>
                <c:ptCount val="15"/>
                <c:pt idx="0">
                  <c:v>67.5</c:v>
                </c:pt>
                <c:pt idx="1">
                  <c:v>27.333333333333332</c:v>
                </c:pt>
                <c:pt idx="2">
                  <c:v>32</c:v>
                </c:pt>
                <c:pt idx="3">
                  <c:v>25.5</c:v>
                </c:pt>
                <c:pt idx="4">
                  <c:v>16.75</c:v>
                </c:pt>
                <c:pt idx="5">
                  <c:v>15.5</c:v>
                </c:pt>
                <c:pt idx="6">
                  <c:v>12</c:v>
                </c:pt>
                <c:pt idx="7">
                  <c:v>10.75</c:v>
                </c:pt>
                <c:pt idx="8">
                  <c:v>9.5</c:v>
                </c:pt>
                <c:pt idx="9">
                  <c:v>9.6666666666666661</c:v>
                </c:pt>
                <c:pt idx="10">
                  <c:v>9.75</c:v>
                </c:pt>
                <c:pt idx="11">
                  <c:v>5</c:v>
                </c:pt>
                <c:pt idx="12">
                  <c:v>2</c:v>
                </c:pt>
                <c:pt idx="13">
                  <c:v>1.3333333333333333</c:v>
                </c:pt>
                <c:pt idx="14">
                  <c:v>0.5</c:v>
                </c:pt>
              </c:numCache>
            </c:numRef>
          </c:val>
          <c:extLst>
            <c:ext xmlns:c16="http://schemas.microsoft.com/office/drawing/2014/chart" uri="{C3380CC4-5D6E-409C-BE32-E72D297353CC}">
              <c16:uniqueId val="{00000007-94AE-6046-918A-EC709C7DF0A9}"/>
            </c:ext>
          </c:extLst>
        </c:ser>
        <c:dLbls>
          <c:showLegendKey val="0"/>
          <c:showVal val="0"/>
          <c:showCatName val="0"/>
          <c:showSerName val="0"/>
          <c:showPercent val="0"/>
          <c:showBubbleSize val="0"/>
        </c:dLbls>
        <c:gapWidth val="150"/>
        <c:shape val="box"/>
        <c:axId val="643800552"/>
        <c:axId val="643800160"/>
        <c:axId val="652354000"/>
      </c:bar3DChart>
      <c:catAx>
        <c:axId val="643800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Treatment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43800160"/>
        <c:crosses val="autoZero"/>
        <c:auto val="1"/>
        <c:lblAlgn val="ctr"/>
        <c:lblOffset val="100"/>
        <c:noMultiLvlLbl val="0"/>
      </c:catAx>
      <c:valAx>
        <c:axId val="643800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Plants</a:t>
                </a:r>
                <a:r>
                  <a:rPr lang="en-US" baseline="0"/>
                  <a:t> in area 5 ft. by 30 ft.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43800552"/>
        <c:crosses val="autoZero"/>
        <c:crossBetween val="between"/>
      </c:valAx>
      <c:serAx>
        <c:axId val="652354000"/>
        <c:scaling>
          <c:orientation val="minMax"/>
        </c:scaling>
        <c:delete val="0"/>
        <c:axPos val="b"/>
        <c:title>
          <c:tx>
            <c:rich>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 after planting/treatment</a:t>
                </a:r>
              </a:p>
            </c:rich>
          </c:tx>
          <c:overlay val="0"/>
          <c:spPr>
            <a:noFill/>
            <a:ln>
              <a:noFill/>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43800160"/>
        <c:crosses val="autoZero"/>
        <c:tickLblSkip val="1"/>
      </c:ser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2017 Common Ragweed Control with Residual Herbicides</a:t>
            </a:r>
          </a:p>
        </c:rich>
      </c:tx>
      <c:layout>
        <c:manualLayout>
          <c:xMode val="edge"/>
          <c:yMode val="edge"/>
          <c:x val="0.18467500639857226"/>
          <c:y val="3.82317801672640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679844652960356E-2"/>
          <c:y val="8.384707287933095E-2"/>
          <c:w val="0.85699460317239895"/>
          <c:h val="0.6385824890168299"/>
        </c:manualLayout>
      </c:layout>
      <c:bar3DChart>
        <c:barDir val="col"/>
        <c:grouping val="standard"/>
        <c:varyColors val="0"/>
        <c:ser>
          <c:idx val="0"/>
          <c:order val="0"/>
          <c:tx>
            <c:strRef>
              <c:f>' chart'!$B$5</c:f>
              <c:strCache>
                <c:ptCount val="1"/>
                <c:pt idx="0">
                  <c:v>14 DAT</c:v>
                </c:pt>
              </c:strCache>
            </c:strRef>
          </c:tx>
          <c:spPr>
            <a:solidFill>
              <a:schemeClr val="accent1"/>
            </a:solidFill>
            <a:ln>
              <a:noFill/>
            </a:ln>
            <a:effectLst/>
            <a:sp3d/>
          </c:spPr>
          <c:invertIfNegative val="0"/>
          <c:cat>
            <c:strRef>
              <c:f>' chart'!$C$4:$L$4</c:f>
              <c:strCache>
                <c:ptCount val="10"/>
                <c:pt idx="0">
                  <c:v>Control</c:v>
                </c:pt>
                <c:pt idx="1">
                  <c:v>Command</c:v>
                </c:pt>
                <c:pt idx="2">
                  <c:v>Metribuzin </c:v>
                </c:pt>
                <c:pt idx="3">
                  <c:v>Fierce</c:v>
                </c:pt>
                <c:pt idx="4">
                  <c:v>Linex</c:v>
                </c:pt>
                <c:pt idx="5">
                  <c:v>Valor</c:v>
                </c:pt>
                <c:pt idx="6">
                  <c:v>Command + Linex</c:v>
                </c:pt>
                <c:pt idx="7">
                  <c:v>Linex + Mertribuzin</c:v>
                </c:pt>
                <c:pt idx="8">
                  <c:v>Valor + Metribuzin</c:v>
                </c:pt>
                <c:pt idx="9">
                  <c:v>Command + Metz. </c:v>
                </c:pt>
              </c:strCache>
            </c:strRef>
          </c:cat>
          <c:val>
            <c:numRef>
              <c:f>' chart'!$C$5:$L$5</c:f>
              <c:numCache>
                <c:formatCode>General</c:formatCode>
                <c:ptCount val="10"/>
                <c:pt idx="0">
                  <c:v>27.5</c:v>
                </c:pt>
                <c:pt idx="1">
                  <c:v>5.5</c:v>
                </c:pt>
                <c:pt idx="2">
                  <c:v>2.25</c:v>
                </c:pt>
                <c:pt idx="3">
                  <c:v>2</c:v>
                </c:pt>
                <c:pt idx="4">
                  <c:v>1.25</c:v>
                </c:pt>
                <c:pt idx="5">
                  <c:v>2.5</c:v>
                </c:pt>
                <c:pt idx="6">
                  <c:v>0.25</c:v>
                </c:pt>
                <c:pt idx="7">
                  <c:v>0</c:v>
                </c:pt>
                <c:pt idx="8">
                  <c:v>0.25</c:v>
                </c:pt>
                <c:pt idx="9">
                  <c:v>0</c:v>
                </c:pt>
              </c:numCache>
            </c:numRef>
          </c:val>
          <c:extLst>
            <c:ext xmlns:c16="http://schemas.microsoft.com/office/drawing/2014/chart" uri="{C3380CC4-5D6E-409C-BE32-E72D297353CC}">
              <c16:uniqueId val="{00000000-C9DA-7149-9EF6-A3510D4DC084}"/>
            </c:ext>
          </c:extLst>
        </c:ser>
        <c:ser>
          <c:idx val="1"/>
          <c:order val="1"/>
          <c:tx>
            <c:strRef>
              <c:f>' chart'!$B$6</c:f>
              <c:strCache>
                <c:ptCount val="1"/>
                <c:pt idx="0">
                  <c:v>21 DAT</c:v>
                </c:pt>
              </c:strCache>
            </c:strRef>
          </c:tx>
          <c:spPr>
            <a:solidFill>
              <a:schemeClr val="accent2"/>
            </a:solidFill>
            <a:ln>
              <a:noFill/>
            </a:ln>
            <a:effectLst/>
            <a:sp3d/>
          </c:spPr>
          <c:invertIfNegative val="0"/>
          <c:cat>
            <c:strRef>
              <c:f>' chart'!$C$4:$L$4</c:f>
              <c:strCache>
                <c:ptCount val="10"/>
                <c:pt idx="0">
                  <c:v>Control</c:v>
                </c:pt>
                <c:pt idx="1">
                  <c:v>Command</c:v>
                </c:pt>
                <c:pt idx="2">
                  <c:v>Metribuzin </c:v>
                </c:pt>
                <c:pt idx="3">
                  <c:v>Fierce</c:v>
                </c:pt>
                <c:pt idx="4">
                  <c:v>Linex</c:v>
                </c:pt>
                <c:pt idx="5">
                  <c:v>Valor</c:v>
                </c:pt>
                <c:pt idx="6">
                  <c:v>Command + Linex</c:v>
                </c:pt>
                <c:pt idx="7">
                  <c:v>Linex + Mertribuzin</c:v>
                </c:pt>
                <c:pt idx="8">
                  <c:v>Valor + Metribuzin</c:v>
                </c:pt>
                <c:pt idx="9">
                  <c:v>Command + Metz. </c:v>
                </c:pt>
              </c:strCache>
            </c:strRef>
          </c:cat>
          <c:val>
            <c:numRef>
              <c:f>' chart'!$C$6:$L$6</c:f>
              <c:numCache>
                <c:formatCode>General</c:formatCode>
                <c:ptCount val="10"/>
                <c:pt idx="0">
                  <c:v>26.25</c:v>
                </c:pt>
                <c:pt idx="1">
                  <c:v>10.25</c:v>
                </c:pt>
                <c:pt idx="2">
                  <c:v>2.875</c:v>
                </c:pt>
                <c:pt idx="3">
                  <c:v>2.5</c:v>
                </c:pt>
                <c:pt idx="4">
                  <c:v>2.25</c:v>
                </c:pt>
                <c:pt idx="5">
                  <c:v>2.5</c:v>
                </c:pt>
                <c:pt idx="6">
                  <c:v>0.25</c:v>
                </c:pt>
                <c:pt idx="7">
                  <c:v>0</c:v>
                </c:pt>
                <c:pt idx="8">
                  <c:v>0.25</c:v>
                </c:pt>
                <c:pt idx="9">
                  <c:v>0.25</c:v>
                </c:pt>
              </c:numCache>
            </c:numRef>
          </c:val>
          <c:extLst>
            <c:ext xmlns:c16="http://schemas.microsoft.com/office/drawing/2014/chart" uri="{C3380CC4-5D6E-409C-BE32-E72D297353CC}">
              <c16:uniqueId val="{00000001-C9DA-7149-9EF6-A3510D4DC084}"/>
            </c:ext>
          </c:extLst>
        </c:ser>
        <c:ser>
          <c:idx val="2"/>
          <c:order val="2"/>
          <c:tx>
            <c:strRef>
              <c:f>' chart'!$B$7</c:f>
              <c:strCache>
                <c:ptCount val="1"/>
                <c:pt idx="0">
                  <c:v>28 DAT</c:v>
                </c:pt>
              </c:strCache>
            </c:strRef>
          </c:tx>
          <c:spPr>
            <a:solidFill>
              <a:schemeClr val="accent3"/>
            </a:solidFill>
            <a:ln>
              <a:noFill/>
            </a:ln>
            <a:effectLst/>
            <a:sp3d/>
          </c:spPr>
          <c:invertIfNegative val="0"/>
          <c:cat>
            <c:strRef>
              <c:f>' chart'!$C$4:$L$4</c:f>
              <c:strCache>
                <c:ptCount val="10"/>
                <c:pt idx="0">
                  <c:v>Control</c:v>
                </c:pt>
                <c:pt idx="1">
                  <c:v>Command</c:v>
                </c:pt>
                <c:pt idx="2">
                  <c:v>Metribuzin </c:v>
                </c:pt>
                <c:pt idx="3">
                  <c:v>Fierce</c:v>
                </c:pt>
                <c:pt idx="4">
                  <c:v>Linex</c:v>
                </c:pt>
                <c:pt idx="5">
                  <c:v>Valor</c:v>
                </c:pt>
                <c:pt idx="6">
                  <c:v>Command + Linex</c:v>
                </c:pt>
                <c:pt idx="7">
                  <c:v>Linex + Mertribuzin</c:v>
                </c:pt>
                <c:pt idx="8">
                  <c:v>Valor + Metribuzin</c:v>
                </c:pt>
                <c:pt idx="9">
                  <c:v>Command + Metz. </c:v>
                </c:pt>
              </c:strCache>
            </c:strRef>
          </c:cat>
          <c:val>
            <c:numRef>
              <c:f>' chart'!$C$7:$L$7</c:f>
              <c:numCache>
                <c:formatCode>General</c:formatCode>
                <c:ptCount val="10"/>
                <c:pt idx="0">
                  <c:v>34.5</c:v>
                </c:pt>
                <c:pt idx="1">
                  <c:v>12.75</c:v>
                </c:pt>
                <c:pt idx="2">
                  <c:v>3.5</c:v>
                </c:pt>
                <c:pt idx="3">
                  <c:v>2.5</c:v>
                </c:pt>
                <c:pt idx="4">
                  <c:v>4.5</c:v>
                </c:pt>
                <c:pt idx="5">
                  <c:v>2.75</c:v>
                </c:pt>
                <c:pt idx="6">
                  <c:v>0.75</c:v>
                </c:pt>
                <c:pt idx="7">
                  <c:v>0.25</c:v>
                </c:pt>
                <c:pt idx="8">
                  <c:v>0.25</c:v>
                </c:pt>
                <c:pt idx="9">
                  <c:v>0.25</c:v>
                </c:pt>
              </c:numCache>
            </c:numRef>
          </c:val>
          <c:extLst>
            <c:ext xmlns:c16="http://schemas.microsoft.com/office/drawing/2014/chart" uri="{C3380CC4-5D6E-409C-BE32-E72D297353CC}">
              <c16:uniqueId val="{00000002-C9DA-7149-9EF6-A3510D4DC084}"/>
            </c:ext>
          </c:extLst>
        </c:ser>
        <c:ser>
          <c:idx val="3"/>
          <c:order val="3"/>
          <c:tx>
            <c:strRef>
              <c:f>' chart'!$B$8</c:f>
              <c:strCache>
                <c:ptCount val="1"/>
                <c:pt idx="0">
                  <c:v>35 DAT</c:v>
                </c:pt>
              </c:strCache>
            </c:strRef>
          </c:tx>
          <c:spPr>
            <a:solidFill>
              <a:schemeClr val="accent4"/>
            </a:solidFill>
            <a:ln>
              <a:noFill/>
            </a:ln>
            <a:effectLst/>
            <a:sp3d/>
          </c:spPr>
          <c:invertIfNegative val="0"/>
          <c:cat>
            <c:strRef>
              <c:f>' chart'!$C$4:$L$4</c:f>
              <c:strCache>
                <c:ptCount val="10"/>
                <c:pt idx="0">
                  <c:v>Control</c:v>
                </c:pt>
                <c:pt idx="1">
                  <c:v>Command</c:v>
                </c:pt>
                <c:pt idx="2">
                  <c:v>Metribuzin </c:v>
                </c:pt>
                <c:pt idx="3">
                  <c:v>Fierce</c:v>
                </c:pt>
                <c:pt idx="4">
                  <c:v>Linex</c:v>
                </c:pt>
                <c:pt idx="5">
                  <c:v>Valor</c:v>
                </c:pt>
                <c:pt idx="6">
                  <c:v>Command + Linex</c:v>
                </c:pt>
                <c:pt idx="7">
                  <c:v>Linex + Mertribuzin</c:v>
                </c:pt>
                <c:pt idx="8">
                  <c:v>Valor + Metribuzin</c:v>
                </c:pt>
                <c:pt idx="9">
                  <c:v>Command + Metz. </c:v>
                </c:pt>
              </c:strCache>
            </c:strRef>
          </c:cat>
          <c:val>
            <c:numRef>
              <c:f>' chart'!$C$8:$L$8</c:f>
              <c:numCache>
                <c:formatCode>0</c:formatCode>
                <c:ptCount val="10"/>
                <c:pt idx="0">
                  <c:v>35.5</c:v>
                </c:pt>
                <c:pt idx="1">
                  <c:v>11</c:v>
                </c:pt>
                <c:pt idx="2">
                  <c:v>3.5</c:v>
                </c:pt>
                <c:pt idx="3">
                  <c:v>2</c:v>
                </c:pt>
                <c:pt idx="4">
                  <c:v>3.25</c:v>
                </c:pt>
                <c:pt idx="5">
                  <c:v>2.5</c:v>
                </c:pt>
                <c:pt idx="6">
                  <c:v>0.75</c:v>
                </c:pt>
                <c:pt idx="7">
                  <c:v>0.25</c:v>
                </c:pt>
                <c:pt idx="8">
                  <c:v>0.25</c:v>
                </c:pt>
                <c:pt idx="9">
                  <c:v>0.25</c:v>
                </c:pt>
              </c:numCache>
            </c:numRef>
          </c:val>
          <c:extLst>
            <c:ext xmlns:c16="http://schemas.microsoft.com/office/drawing/2014/chart" uri="{C3380CC4-5D6E-409C-BE32-E72D297353CC}">
              <c16:uniqueId val="{00000003-C9DA-7149-9EF6-A3510D4DC084}"/>
            </c:ext>
          </c:extLst>
        </c:ser>
        <c:ser>
          <c:idx val="4"/>
          <c:order val="4"/>
          <c:tx>
            <c:strRef>
              <c:f>' chart'!$B$9</c:f>
              <c:strCache>
                <c:ptCount val="1"/>
                <c:pt idx="0">
                  <c:v>42 DAT</c:v>
                </c:pt>
              </c:strCache>
            </c:strRef>
          </c:tx>
          <c:spPr>
            <a:solidFill>
              <a:schemeClr val="accent5"/>
            </a:solidFill>
            <a:ln>
              <a:noFill/>
            </a:ln>
            <a:effectLst/>
            <a:sp3d/>
          </c:spPr>
          <c:invertIfNegative val="0"/>
          <c:cat>
            <c:strRef>
              <c:f>' chart'!$C$4:$L$4</c:f>
              <c:strCache>
                <c:ptCount val="10"/>
                <c:pt idx="0">
                  <c:v>Control</c:v>
                </c:pt>
                <c:pt idx="1">
                  <c:v>Command</c:v>
                </c:pt>
                <c:pt idx="2">
                  <c:v>Metribuzin </c:v>
                </c:pt>
                <c:pt idx="3">
                  <c:v>Fierce</c:v>
                </c:pt>
                <c:pt idx="4">
                  <c:v>Linex</c:v>
                </c:pt>
                <c:pt idx="5">
                  <c:v>Valor</c:v>
                </c:pt>
                <c:pt idx="6">
                  <c:v>Command + Linex</c:v>
                </c:pt>
                <c:pt idx="7">
                  <c:v>Linex + Mertribuzin</c:v>
                </c:pt>
                <c:pt idx="8">
                  <c:v>Valor + Metribuzin</c:v>
                </c:pt>
                <c:pt idx="9">
                  <c:v>Command + Metz. </c:v>
                </c:pt>
              </c:strCache>
            </c:strRef>
          </c:cat>
          <c:val>
            <c:numRef>
              <c:f>' chart'!$C$9:$L$9</c:f>
              <c:numCache>
                <c:formatCode>0</c:formatCode>
                <c:ptCount val="10"/>
                <c:pt idx="0">
                  <c:v>36.75</c:v>
                </c:pt>
                <c:pt idx="1">
                  <c:v>12.75</c:v>
                </c:pt>
                <c:pt idx="2">
                  <c:v>4</c:v>
                </c:pt>
                <c:pt idx="3">
                  <c:v>2.25</c:v>
                </c:pt>
                <c:pt idx="4">
                  <c:v>3.25</c:v>
                </c:pt>
                <c:pt idx="5">
                  <c:v>2.5</c:v>
                </c:pt>
                <c:pt idx="6">
                  <c:v>1</c:v>
                </c:pt>
                <c:pt idx="7">
                  <c:v>0.5</c:v>
                </c:pt>
                <c:pt idx="8">
                  <c:v>0.5</c:v>
                </c:pt>
                <c:pt idx="9">
                  <c:v>0.25</c:v>
                </c:pt>
              </c:numCache>
            </c:numRef>
          </c:val>
          <c:extLst>
            <c:ext xmlns:c16="http://schemas.microsoft.com/office/drawing/2014/chart" uri="{C3380CC4-5D6E-409C-BE32-E72D297353CC}">
              <c16:uniqueId val="{00000004-C9DA-7149-9EF6-A3510D4DC084}"/>
            </c:ext>
          </c:extLst>
        </c:ser>
        <c:ser>
          <c:idx val="5"/>
          <c:order val="5"/>
          <c:tx>
            <c:strRef>
              <c:f>' chart'!$B$10</c:f>
              <c:strCache>
                <c:ptCount val="1"/>
                <c:pt idx="0">
                  <c:v>49 DAT</c:v>
                </c:pt>
              </c:strCache>
            </c:strRef>
          </c:tx>
          <c:spPr>
            <a:solidFill>
              <a:schemeClr val="accent6"/>
            </a:solidFill>
            <a:ln>
              <a:noFill/>
            </a:ln>
            <a:effectLst/>
            <a:sp3d/>
          </c:spPr>
          <c:invertIfNegative val="0"/>
          <c:cat>
            <c:strRef>
              <c:f>' chart'!$C$4:$L$4</c:f>
              <c:strCache>
                <c:ptCount val="10"/>
                <c:pt idx="0">
                  <c:v>Control</c:v>
                </c:pt>
                <c:pt idx="1">
                  <c:v>Command</c:v>
                </c:pt>
                <c:pt idx="2">
                  <c:v>Metribuzin </c:v>
                </c:pt>
                <c:pt idx="3">
                  <c:v>Fierce</c:v>
                </c:pt>
                <c:pt idx="4">
                  <c:v>Linex</c:v>
                </c:pt>
                <c:pt idx="5">
                  <c:v>Valor</c:v>
                </c:pt>
                <c:pt idx="6">
                  <c:v>Command + Linex</c:v>
                </c:pt>
                <c:pt idx="7">
                  <c:v>Linex + Mertribuzin</c:v>
                </c:pt>
                <c:pt idx="8">
                  <c:v>Valor + Metribuzin</c:v>
                </c:pt>
                <c:pt idx="9">
                  <c:v>Command + Metz. </c:v>
                </c:pt>
              </c:strCache>
            </c:strRef>
          </c:cat>
          <c:val>
            <c:numRef>
              <c:f>' chart'!$C$10:$L$10</c:f>
              <c:numCache>
                <c:formatCode>0</c:formatCode>
                <c:ptCount val="10"/>
                <c:pt idx="0">
                  <c:v>37</c:v>
                </c:pt>
                <c:pt idx="1">
                  <c:v>15.75</c:v>
                </c:pt>
                <c:pt idx="2">
                  <c:v>4.25</c:v>
                </c:pt>
                <c:pt idx="3">
                  <c:v>4.5</c:v>
                </c:pt>
                <c:pt idx="4">
                  <c:v>4</c:v>
                </c:pt>
                <c:pt idx="5">
                  <c:v>2.5</c:v>
                </c:pt>
                <c:pt idx="6">
                  <c:v>1</c:v>
                </c:pt>
                <c:pt idx="7">
                  <c:v>0.5</c:v>
                </c:pt>
                <c:pt idx="8">
                  <c:v>0.5</c:v>
                </c:pt>
                <c:pt idx="9">
                  <c:v>0.5</c:v>
                </c:pt>
              </c:numCache>
            </c:numRef>
          </c:val>
          <c:extLst>
            <c:ext xmlns:c16="http://schemas.microsoft.com/office/drawing/2014/chart" uri="{C3380CC4-5D6E-409C-BE32-E72D297353CC}">
              <c16:uniqueId val="{00000005-C9DA-7149-9EF6-A3510D4DC084}"/>
            </c:ext>
          </c:extLst>
        </c:ser>
        <c:ser>
          <c:idx val="6"/>
          <c:order val="6"/>
          <c:tx>
            <c:strRef>
              <c:f>' chart'!$B$11</c:f>
              <c:strCache>
                <c:ptCount val="1"/>
                <c:pt idx="0">
                  <c:v>56 DAT</c:v>
                </c:pt>
              </c:strCache>
            </c:strRef>
          </c:tx>
          <c:spPr>
            <a:solidFill>
              <a:schemeClr val="accent1">
                <a:lumMod val="60000"/>
              </a:schemeClr>
            </a:solidFill>
            <a:ln>
              <a:noFill/>
            </a:ln>
            <a:effectLst/>
            <a:sp3d/>
          </c:spPr>
          <c:invertIfNegative val="0"/>
          <c:cat>
            <c:strRef>
              <c:f>' chart'!$C$4:$L$4</c:f>
              <c:strCache>
                <c:ptCount val="10"/>
                <c:pt idx="0">
                  <c:v>Control</c:v>
                </c:pt>
                <c:pt idx="1">
                  <c:v>Command</c:v>
                </c:pt>
                <c:pt idx="2">
                  <c:v>Metribuzin </c:v>
                </c:pt>
                <c:pt idx="3">
                  <c:v>Fierce</c:v>
                </c:pt>
                <c:pt idx="4">
                  <c:v>Linex</c:v>
                </c:pt>
                <c:pt idx="5">
                  <c:v>Valor</c:v>
                </c:pt>
                <c:pt idx="6">
                  <c:v>Command + Linex</c:v>
                </c:pt>
                <c:pt idx="7">
                  <c:v>Linex + Mertribuzin</c:v>
                </c:pt>
                <c:pt idx="8">
                  <c:v>Valor + Metribuzin</c:v>
                </c:pt>
                <c:pt idx="9">
                  <c:v>Command + Metz. </c:v>
                </c:pt>
              </c:strCache>
            </c:strRef>
          </c:cat>
          <c:val>
            <c:numRef>
              <c:f>' chart'!$C$11:$L$11</c:f>
              <c:numCache>
                <c:formatCode>0</c:formatCode>
                <c:ptCount val="10"/>
                <c:pt idx="0">
                  <c:v>40</c:v>
                </c:pt>
                <c:pt idx="1">
                  <c:v>15.5</c:v>
                </c:pt>
                <c:pt idx="2">
                  <c:v>4.1875</c:v>
                </c:pt>
                <c:pt idx="3">
                  <c:v>4.75</c:v>
                </c:pt>
                <c:pt idx="4">
                  <c:v>4</c:v>
                </c:pt>
                <c:pt idx="5">
                  <c:v>3</c:v>
                </c:pt>
                <c:pt idx="6">
                  <c:v>1</c:v>
                </c:pt>
                <c:pt idx="7">
                  <c:v>0.75</c:v>
                </c:pt>
                <c:pt idx="8">
                  <c:v>0.5</c:v>
                </c:pt>
                <c:pt idx="9">
                  <c:v>0.5</c:v>
                </c:pt>
              </c:numCache>
            </c:numRef>
          </c:val>
          <c:extLst>
            <c:ext xmlns:c16="http://schemas.microsoft.com/office/drawing/2014/chart" uri="{C3380CC4-5D6E-409C-BE32-E72D297353CC}">
              <c16:uniqueId val="{00000006-C9DA-7149-9EF6-A3510D4DC084}"/>
            </c:ext>
          </c:extLst>
        </c:ser>
        <c:ser>
          <c:idx val="7"/>
          <c:order val="7"/>
          <c:tx>
            <c:strRef>
              <c:f>' chart'!$B$12</c:f>
              <c:strCache>
                <c:ptCount val="1"/>
                <c:pt idx="0">
                  <c:v>63 DAT</c:v>
                </c:pt>
              </c:strCache>
            </c:strRef>
          </c:tx>
          <c:spPr>
            <a:solidFill>
              <a:schemeClr val="accent2">
                <a:lumMod val="60000"/>
              </a:schemeClr>
            </a:solidFill>
            <a:ln>
              <a:noFill/>
            </a:ln>
            <a:effectLst/>
            <a:sp3d/>
          </c:spPr>
          <c:invertIfNegative val="0"/>
          <c:cat>
            <c:strRef>
              <c:f>' chart'!$C$4:$L$4</c:f>
              <c:strCache>
                <c:ptCount val="10"/>
                <c:pt idx="0">
                  <c:v>Control</c:v>
                </c:pt>
                <c:pt idx="1">
                  <c:v>Command</c:v>
                </c:pt>
                <c:pt idx="2">
                  <c:v>Metribuzin </c:v>
                </c:pt>
                <c:pt idx="3">
                  <c:v>Fierce</c:v>
                </c:pt>
                <c:pt idx="4">
                  <c:v>Linex</c:v>
                </c:pt>
                <c:pt idx="5">
                  <c:v>Valor</c:v>
                </c:pt>
                <c:pt idx="6">
                  <c:v>Command + Linex</c:v>
                </c:pt>
                <c:pt idx="7">
                  <c:v>Linex + Mertribuzin</c:v>
                </c:pt>
                <c:pt idx="8">
                  <c:v>Valor + Metribuzin</c:v>
                </c:pt>
                <c:pt idx="9">
                  <c:v>Command + Metz. </c:v>
                </c:pt>
              </c:strCache>
            </c:strRef>
          </c:cat>
          <c:val>
            <c:numRef>
              <c:f>' chart'!$C$12:$L$12</c:f>
              <c:numCache>
                <c:formatCode>0</c:formatCode>
                <c:ptCount val="10"/>
                <c:pt idx="0">
                  <c:v>40.5</c:v>
                </c:pt>
                <c:pt idx="1">
                  <c:v>14</c:v>
                </c:pt>
                <c:pt idx="2">
                  <c:v>4.375</c:v>
                </c:pt>
                <c:pt idx="3">
                  <c:v>4</c:v>
                </c:pt>
                <c:pt idx="4">
                  <c:v>4</c:v>
                </c:pt>
                <c:pt idx="5">
                  <c:v>2.5</c:v>
                </c:pt>
                <c:pt idx="6">
                  <c:v>1.25</c:v>
                </c:pt>
                <c:pt idx="7">
                  <c:v>0.75</c:v>
                </c:pt>
                <c:pt idx="8">
                  <c:v>0.5</c:v>
                </c:pt>
                <c:pt idx="9">
                  <c:v>0.25</c:v>
                </c:pt>
              </c:numCache>
            </c:numRef>
          </c:val>
          <c:extLst>
            <c:ext xmlns:c16="http://schemas.microsoft.com/office/drawing/2014/chart" uri="{C3380CC4-5D6E-409C-BE32-E72D297353CC}">
              <c16:uniqueId val="{00000007-C9DA-7149-9EF6-A3510D4DC084}"/>
            </c:ext>
          </c:extLst>
        </c:ser>
        <c:ser>
          <c:idx val="8"/>
          <c:order val="8"/>
          <c:tx>
            <c:strRef>
              <c:f>' chart'!$B$13</c:f>
              <c:strCache>
                <c:ptCount val="1"/>
                <c:pt idx="0">
                  <c:v>70  DAT</c:v>
                </c:pt>
              </c:strCache>
            </c:strRef>
          </c:tx>
          <c:spPr>
            <a:solidFill>
              <a:schemeClr val="accent3">
                <a:lumMod val="60000"/>
              </a:schemeClr>
            </a:solidFill>
            <a:ln>
              <a:noFill/>
            </a:ln>
            <a:effectLst/>
            <a:sp3d/>
          </c:spPr>
          <c:invertIfNegative val="0"/>
          <c:cat>
            <c:strRef>
              <c:f>' chart'!$C$4:$L$4</c:f>
              <c:strCache>
                <c:ptCount val="10"/>
                <c:pt idx="0">
                  <c:v>Control</c:v>
                </c:pt>
                <c:pt idx="1">
                  <c:v>Command</c:v>
                </c:pt>
                <c:pt idx="2">
                  <c:v>Metribuzin </c:v>
                </c:pt>
                <c:pt idx="3">
                  <c:v>Fierce</c:v>
                </c:pt>
                <c:pt idx="4">
                  <c:v>Linex</c:v>
                </c:pt>
                <c:pt idx="5">
                  <c:v>Valor</c:v>
                </c:pt>
                <c:pt idx="6">
                  <c:v>Command + Linex</c:v>
                </c:pt>
                <c:pt idx="7">
                  <c:v>Linex + Mertribuzin</c:v>
                </c:pt>
                <c:pt idx="8">
                  <c:v>Valor + Metribuzin</c:v>
                </c:pt>
                <c:pt idx="9">
                  <c:v>Command + Metz. </c:v>
                </c:pt>
              </c:strCache>
            </c:strRef>
          </c:cat>
          <c:val>
            <c:numRef>
              <c:f>' chart'!$C$13:$L$13</c:f>
              <c:numCache>
                <c:formatCode>0</c:formatCode>
                <c:ptCount val="10"/>
                <c:pt idx="0">
                  <c:v>31</c:v>
                </c:pt>
                <c:pt idx="1">
                  <c:v>13.25</c:v>
                </c:pt>
                <c:pt idx="2">
                  <c:v>4.5</c:v>
                </c:pt>
                <c:pt idx="3">
                  <c:v>3.5</c:v>
                </c:pt>
                <c:pt idx="4">
                  <c:v>3.5</c:v>
                </c:pt>
                <c:pt idx="5">
                  <c:v>2.25</c:v>
                </c:pt>
                <c:pt idx="6">
                  <c:v>3.5</c:v>
                </c:pt>
                <c:pt idx="7">
                  <c:v>0.75</c:v>
                </c:pt>
                <c:pt idx="8">
                  <c:v>0.25</c:v>
                </c:pt>
                <c:pt idx="9">
                  <c:v>0.25</c:v>
                </c:pt>
              </c:numCache>
            </c:numRef>
          </c:val>
          <c:extLst>
            <c:ext xmlns:c16="http://schemas.microsoft.com/office/drawing/2014/chart" uri="{C3380CC4-5D6E-409C-BE32-E72D297353CC}">
              <c16:uniqueId val="{00000008-C9DA-7149-9EF6-A3510D4DC084}"/>
            </c:ext>
          </c:extLst>
        </c:ser>
        <c:dLbls>
          <c:showLegendKey val="0"/>
          <c:showVal val="0"/>
          <c:showCatName val="0"/>
          <c:showSerName val="0"/>
          <c:showPercent val="0"/>
          <c:showBubbleSize val="0"/>
        </c:dLbls>
        <c:gapWidth val="150"/>
        <c:shape val="box"/>
        <c:axId val="658511464"/>
        <c:axId val="658511072"/>
        <c:axId val="677099688"/>
      </c:bar3DChart>
      <c:catAx>
        <c:axId val="658511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Treatment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58511072"/>
        <c:crosses val="autoZero"/>
        <c:auto val="1"/>
        <c:lblAlgn val="ctr"/>
        <c:lblOffset val="100"/>
        <c:noMultiLvlLbl val="0"/>
      </c:catAx>
      <c:valAx>
        <c:axId val="658511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Plants</a:t>
                </a:r>
                <a:r>
                  <a:rPr lang="en-US" baseline="0"/>
                  <a:t> in area 5 ft. by 30 ft.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511464"/>
        <c:crosses val="autoZero"/>
        <c:crossBetween val="between"/>
      </c:valAx>
      <c:serAx>
        <c:axId val="677099688"/>
        <c:scaling>
          <c:orientation val="minMax"/>
        </c:scaling>
        <c:delete val="0"/>
        <c:axPos val="b"/>
        <c:title>
          <c:tx>
            <c:rich>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 after planting/treatment</a:t>
                </a:r>
              </a:p>
            </c:rich>
          </c:tx>
          <c:overlay val="0"/>
          <c:spPr>
            <a:noFill/>
            <a:ln>
              <a:noFill/>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658511072"/>
        <c:crosses val="autoZero"/>
        <c:tickLblSkip val="1"/>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Beale</dc:creator>
  <cp:keywords/>
  <dc:description/>
  <cp:lastModifiedBy>Microsoft Office User</cp:lastModifiedBy>
  <cp:revision>2</cp:revision>
  <cp:lastPrinted>2018-04-11T15:04:00Z</cp:lastPrinted>
  <dcterms:created xsi:type="dcterms:W3CDTF">2018-04-11T19:37:00Z</dcterms:created>
  <dcterms:modified xsi:type="dcterms:W3CDTF">2018-04-11T19:37:00Z</dcterms:modified>
</cp:coreProperties>
</file>