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CD2" w:rsidRDefault="00D10CD2" w:rsidP="00C210DF">
      <w:pPr>
        <w:pStyle w:val="NoSpacing"/>
        <w:jc w:val="center"/>
        <w:rPr>
          <w:b/>
        </w:rPr>
      </w:pPr>
      <w:r>
        <w:rPr>
          <w:b/>
        </w:rPr>
        <w:t>Effects of Planting Population on Yield in Full Season Soybeans</w:t>
      </w:r>
    </w:p>
    <w:p w:rsidR="003C57C8" w:rsidRPr="003C57C8" w:rsidRDefault="003C57C8" w:rsidP="00C210DF">
      <w:pPr>
        <w:pStyle w:val="NoSpacing"/>
        <w:jc w:val="center"/>
        <w:rPr>
          <w:i/>
        </w:rPr>
      </w:pPr>
      <w:r>
        <w:rPr>
          <w:i/>
        </w:rPr>
        <w:t>A Final Report to the Maryland Soybean Board, March 11, 2020</w:t>
      </w:r>
    </w:p>
    <w:p w:rsidR="00C210DF" w:rsidRPr="003C57C8" w:rsidRDefault="002C5283" w:rsidP="002C5283">
      <w:pPr>
        <w:pStyle w:val="NoSpacing"/>
        <w:jc w:val="center"/>
      </w:pPr>
      <w:r w:rsidRPr="003C57C8">
        <w:t>Kelly Nichols, Ag Agent Associate, University of Maryland Extension, Frederick County</w:t>
      </w:r>
    </w:p>
    <w:p w:rsidR="002C5283" w:rsidRDefault="002C5283" w:rsidP="002C5283">
      <w:pPr>
        <w:pStyle w:val="NoSpacing"/>
        <w:jc w:val="center"/>
      </w:pPr>
      <w:bookmarkStart w:id="0" w:name="_GoBack"/>
      <w:bookmarkEnd w:id="0"/>
    </w:p>
    <w:p w:rsidR="00ED0883" w:rsidRDefault="00E10FF6" w:rsidP="00C210DF">
      <w:pPr>
        <w:pStyle w:val="NoSpacing"/>
      </w:pPr>
      <w:r>
        <w:t xml:space="preserve">Soybean population plots were planted on two farms in Frederick County near Thurmont and Tuscarora on June 4 and 7, respectively. </w:t>
      </w:r>
      <w:r w:rsidR="00817223" w:rsidRPr="00817223">
        <w:t>Planted populations were 80, 100, 120, 140, and 160 thousand plants per acre</w:t>
      </w:r>
      <w:r w:rsidR="00620BEC">
        <w:t xml:space="preserve"> (ppa)</w:t>
      </w:r>
      <w:r w:rsidR="00817223" w:rsidRPr="00817223">
        <w:t xml:space="preserve">. </w:t>
      </w:r>
      <w:r>
        <w:t>The Thurmont plots were planted</w:t>
      </w:r>
      <w:r w:rsidR="00E81689">
        <w:t xml:space="preserve"> </w:t>
      </w:r>
      <w:r>
        <w:t>on 30-inch spacing with three replications. The Tuscarora plots were drilled on 7.5-inch spacing with four replications.</w:t>
      </w:r>
    </w:p>
    <w:p w:rsidR="00ED0883" w:rsidRDefault="00ED0883" w:rsidP="00C210DF">
      <w:pPr>
        <w:pStyle w:val="NoSpacing"/>
      </w:pPr>
    </w:p>
    <w:p w:rsidR="00E10FF6" w:rsidRDefault="00355648" w:rsidP="00C210DF">
      <w:pPr>
        <w:pStyle w:val="NoSpacing"/>
      </w:pPr>
      <w:r>
        <w:t>On July 1, initial population</w:t>
      </w:r>
      <w:r w:rsidR="00E10FF6">
        <w:t xml:space="preserve"> counts were taken at both farms. </w:t>
      </w:r>
      <w:r w:rsidR="00ED0883">
        <w:t>At the Thurmont farm, plots ranged from 79 to 88 percent germination. At the Tuscarora farm, plots ranged from 88 to 9</w:t>
      </w:r>
      <w:r w:rsidR="008278A3">
        <w:t>8</w:t>
      </w:r>
      <w:r w:rsidR="00ED0883">
        <w:t xml:space="preserve"> percent germination.</w:t>
      </w:r>
      <w:r w:rsidR="00E81689">
        <w:t xml:space="preserve"> (Table 1</w:t>
      </w:r>
      <w:r w:rsidR="00461A2C">
        <w:t>.)</w:t>
      </w:r>
      <w:r w:rsidR="00ED0883">
        <w:t xml:space="preserve"> This is </w:t>
      </w:r>
      <w:r>
        <w:t>consistent with the germination percentage of the seed.</w:t>
      </w:r>
    </w:p>
    <w:p w:rsidR="00E81689" w:rsidRDefault="00E81689" w:rsidP="00C210DF">
      <w:pPr>
        <w:pStyle w:val="NoSpacing"/>
      </w:pPr>
    </w:p>
    <w:p w:rsidR="00E81689" w:rsidRDefault="00734C6C" w:rsidP="00C210DF">
      <w:pPr>
        <w:pStyle w:val="NoSpacing"/>
      </w:pPr>
      <w:r>
        <w:t>Plots were harvested on October 3 and October 24 at the Tuscarora an</w:t>
      </w:r>
      <w:r w:rsidR="00247130">
        <w:t>d Thurmont farms, respectively.</w:t>
      </w:r>
      <w:r>
        <w:t xml:space="preserve"> </w:t>
      </w:r>
      <w:r w:rsidR="00247130">
        <w:t>Yield ranged from 61 to 70 bu/A (Table 2).</w:t>
      </w:r>
      <w:r w:rsidR="0068032A">
        <w:t xml:space="preserve"> </w:t>
      </w:r>
      <w:r>
        <w:t xml:space="preserve">Overall, yield differences between the populations were </w:t>
      </w:r>
      <w:r w:rsidR="0068032A">
        <w:t xml:space="preserve">within three bu/A. </w:t>
      </w:r>
      <w:r w:rsidR="007A0AE0">
        <w:t>Each farm was statistically analyzed separately due to the differences in row spacing and variety. T</w:t>
      </w:r>
      <w:r w:rsidR="00247130" w:rsidRPr="00247130">
        <w:t>here were no significant differences in yield between any of the planting populations on either farm, indicating that on these two farms</w:t>
      </w:r>
      <w:r w:rsidR="00FF1751">
        <w:t xml:space="preserve"> in 2019</w:t>
      </w:r>
      <w:r w:rsidR="00247130" w:rsidRPr="00247130">
        <w:t xml:space="preserve">, lower populations </w:t>
      </w:r>
      <w:r w:rsidR="00FF1751">
        <w:t>did not adversely affect yield</w:t>
      </w:r>
      <w:r w:rsidR="00247130" w:rsidRPr="00247130">
        <w:t>. Also, those lower planting populations would have resulted in reduced seed costs.</w:t>
      </w:r>
    </w:p>
    <w:p w:rsidR="007A0AE0" w:rsidRDefault="007A0AE0" w:rsidP="00C210DF">
      <w:pPr>
        <w:pStyle w:val="NoSpacing"/>
      </w:pPr>
    </w:p>
    <w:p w:rsidR="007A0AE0" w:rsidRDefault="0068699E" w:rsidP="00C210DF">
      <w:pPr>
        <w:pStyle w:val="NoSpacing"/>
      </w:pPr>
      <w:r>
        <w:t xml:space="preserve">The variety used at the Thurmont farm was Pioneer P37A69, which retails for $71.00 per unit of 140,000 seeds. </w:t>
      </w:r>
      <w:r w:rsidR="00620BEC">
        <w:t xml:space="preserve">The variety used at the </w:t>
      </w:r>
      <w:r>
        <w:t>Tuscarora</w:t>
      </w:r>
      <w:r w:rsidR="00620BEC">
        <w:t xml:space="preserve"> farm was Hubner 38-27R2X, which </w:t>
      </w:r>
      <w:r>
        <w:t>retails for</w:t>
      </w:r>
      <w:r w:rsidR="00620BEC">
        <w:t xml:space="preserve"> $</w:t>
      </w:r>
      <w:r>
        <w:t>59.00 per unit of 140,000 seeds</w:t>
      </w:r>
      <w:r w:rsidR="00620BEC">
        <w:t xml:space="preserve">. (Note that these costs </w:t>
      </w:r>
      <w:r>
        <w:t>do</w:t>
      </w:r>
      <w:r w:rsidR="00620BEC">
        <w:t xml:space="preserve"> not include any discounts</w:t>
      </w:r>
      <w:r>
        <w:t xml:space="preserve"> or seed treatments</w:t>
      </w:r>
      <w:r w:rsidR="00620BEC">
        <w:t>.) At the time of harvest, soybeans were $9.51/bu</w:t>
      </w:r>
      <w:r>
        <w:t xml:space="preserve"> on the Chicago Board</w:t>
      </w:r>
      <w:r w:rsidR="00620BEC">
        <w:t>.</w:t>
      </w:r>
      <w:r w:rsidR="007A0AE0">
        <w:t xml:space="preserve"> The gross amount per acre was calculated by multiplying the price per acre by the number of bushels per acre.</w:t>
      </w:r>
      <w:r>
        <w:t xml:space="preserve"> The net dollar amount was </w:t>
      </w:r>
      <w:r w:rsidR="007A0AE0">
        <w:t xml:space="preserve">then </w:t>
      </w:r>
      <w:r>
        <w:t xml:space="preserve">calculated by subtracting the seed cost from the gross amount per acre. At the Thurmont farm, the 100,000 planting population had the highest net </w:t>
      </w:r>
      <w:r w:rsidR="00E05EE6">
        <w:t xml:space="preserve">per acre </w:t>
      </w:r>
      <w:r>
        <w:t>at $598.19, while</w:t>
      </w:r>
      <w:r w:rsidR="009066BB">
        <w:t xml:space="preserve"> the</w:t>
      </w:r>
      <w:r>
        <w:t xml:space="preserve"> 140,000 and 160,000</w:t>
      </w:r>
      <w:r w:rsidR="009066BB">
        <w:t xml:space="preserve"> populations</w:t>
      </w:r>
      <w:r>
        <w:t xml:space="preserve"> had the lowest net</w:t>
      </w:r>
      <w:r w:rsidR="00E05EE6">
        <w:t>,</w:t>
      </w:r>
      <w:r>
        <w:t xml:space="preserve"> around $581/A (Table 3). At the Tuscarora farm, </w:t>
      </w:r>
      <w:r w:rsidR="00E05EE6">
        <w:t xml:space="preserve">the 120,000 planting population had the highest net per acre at $560.13, while </w:t>
      </w:r>
      <w:r w:rsidR="009066BB">
        <w:t>the 160,000 population had the lowest net at $515.76/A.</w:t>
      </w:r>
    </w:p>
    <w:p w:rsidR="00514E9F" w:rsidRDefault="00514E9F" w:rsidP="00C210DF">
      <w:pPr>
        <w:pStyle w:val="NoSpacing"/>
      </w:pPr>
    </w:p>
    <w:p w:rsidR="00514E9F" w:rsidRDefault="00514E9F" w:rsidP="00514E9F">
      <w:pPr>
        <w:pStyle w:val="NoSpacing"/>
      </w:pPr>
      <w:r>
        <w:t>Shortly before harvest, stem diameter measurements were taken. At higher populations, plant stems tend to be thinner because plants are closer together and there is more competition between plants. At lower populations, plants can branch out, resulting in thicker stems. The Dectes stem borer is a pest of soybeans; after the eggs hatch, the larvae bore into the stem</w:t>
      </w:r>
      <w:r w:rsidR="005670E6">
        <w:t xml:space="preserve"> and feed from the inside. Soybeans with thicker stems are theorized to be a more favorable environment for Dectes stem borer larvae. </w:t>
      </w:r>
      <w:r>
        <w:t xml:space="preserve">The average stem diameters for the two fields in this study are presented in Figure 1. This data shows the trend that as population </w:t>
      </w:r>
      <w:r w:rsidR="005670E6">
        <w:t>increases, stem diameter decreases, indicating that higher populations with thinner stems may be less favorable for Dectes larvae.</w:t>
      </w:r>
    </w:p>
    <w:p w:rsidR="0095456E" w:rsidRDefault="0095456E" w:rsidP="00514E9F">
      <w:pPr>
        <w:pStyle w:val="NoSpacing"/>
      </w:pPr>
    </w:p>
    <w:p w:rsidR="0095456E" w:rsidRDefault="0095456E" w:rsidP="00514E9F">
      <w:pPr>
        <w:pStyle w:val="NoSpacing"/>
      </w:pPr>
      <w:r>
        <w:t>In summary, lower soybean populations may still result in optimum yield while reducing seed costs. For fields that have a history of Dectes stem borer, a balance may need to be found between lowering planting population and creating a less suitable environment for Dectes.</w:t>
      </w:r>
    </w:p>
    <w:p w:rsidR="00514E9F" w:rsidRDefault="00514E9F" w:rsidP="00C210DF">
      <w:pPr>
        <w:pStyle w:val="NoSpacing"/>
      </w:pPr>
    </w:p>
    <w:p w:rsidR="009066BB" w:rsidRDefault="009066BB" w:rsidP="00C210DF">
      <w:pPr>
        <w:pStyle w:val="NoSpacing"/>
      </w:pPr>
    </w:p>
    <w:p w:rsidR="000045A9" w:rsidRDefault="000045A9" w:rsidP="00C210DF">
      <w:pPr>
        <w:pStyle w:val="NoSpacing"/>
      </w:pPr>
    </w:p>
    <w:p w:rsidR="00355648" w:rsidRDefault="00355648" w:rsidP="00C210DF">
      <w:pPr>
        <w:pStyle w:val="NoSpacing"/>
      </w:pPr>
    </w:p>
    <w:p w:rsidR="00247130" w:rsidRDefault="00247130" w:rsidP="00C210DF">
      <w:pPr>
        <w:pStyle w:val="NoSpacing"/>
      </w:pPr>
    </w:p>
    <w:p w:rsidR="00355648" w:rsidRDefault="00E81689" w:rsidP="00355648">
      <w:pPr>
        <w:pStyle w:val="NoSpacing"/>
      </w:pPr>
      <w:r>
        <w:lastRenderedPageBreak/>
        <w:t>Table 1. Initial Population Counts, July 1.</w:t>
      </w:r>
    </w:p>
    <w:tbl>
      <w:tblPr>
        <w:tblStyle w:val="TableGrid"/>
        <w:tblW w:w="0" w:type="auto"/>
        <w:tblLook w:val="04A0" w:firstRow="1" w:lastRow="0" w:firstColumn="1" w:lastColumn="0" w:noHBand="0" w:noVBand="1"/>
      </w:tblPr>
      <w:tblGrid>
        <w:gridCol w:w="1870"/>
        <w:gridCol w:w="1870"/>
        <w:gridCol w:w="1870"/>
        <w:gridCol w:w="1870"/>
        <w:gridCol w:w="1870"/>
      </w:tblGrid>
      <w:tr w:rsidR="00355648" w:rsidTr="00355648">
        <w:tc>
          <w:tcPr>
            <w:tcW w:w="1870" w:type="dxa"/>
            <w:vAlign w:val="center"/>
          </w:tcPr>
          <w:p w:rsidR="00355648" w:rsidRDefault="00355648" w:rsidP="00355648">
            <w:pPr>
              <w:pStyle w:val="NoSpacing"/>
              <w:jc w:val="center"/>
              <w:rPr>
                <w:b/>
              </w:rPr>
            </w:pPr>
          </w:p>
        </w:tc>
        <w:tc>
          <w:tcPr>
            <w:tcW w:w="3740" w:type="dxa"/>
            <w:gridSpan w:val="2"/>
            <w:vAlign w:val="center"/>
          </w:tcPr>
          <w:p w:rsidR="00355648" w:rsidRPr="00734C6C" w:rsidRDefault="00355648" w:rsidP="00355648">
            <w:pPr>
              <w:pStyle w:val="NoSpacing"/>
              <w:jc w:val="center"/>
              <w:rPr>
                <w:b/>
              </w:rPr>
            </w:pPr>
            <w:r w:rsidRPr="00734C6C">
              <w:rPr>
                <w:b/>
              </w:rPr>
              <w:t>Thurmont Farm</w:t>
            </w:r>
          </w:p>
        </w:tc>
        <w:tc>
          <w:tcPr>
            <w:tcW w:w="3740" w:type="dxa"/>
            <w:gridSpan w:val="2"/>
            <w:vAlign w:val="center"/>
          </w:tcPr>
          <w:p w:rsidR="00355648" w:rsidRPr="00734C6C" w:rsidRDefault="00355648" w:rsidP="00355648">
            <w:pPr>
              <w:pStyle w:val="NoSpacing"/>
              <w:jc w:val="center"/>
              <w:rPr>
                <w:b/>
              </w:rPr>
            </w:pPr>
            <w:r w:rsidRPr="00734C6C">
              <w:rPr>
                <w:b/>
              </w:rPr>
              <w:t>Tuscarora Farm</w:t>
            </w:r>
          </w:p>
        </w:tc>
      </w:tr>
      <w:tr w:rsidR="00355648" w:rsidTr="00355648">
        <w:tc>
          <w:tcPr>
            <w:tcW w:w="1870" w:type="dxa"/>
            <w:vAlign w:val="center"/>
          </w:tcPr>
          <w:p w:rsidR="00355648" w:rsidRDefault="00355648" w:rsidP="00BF5F36">
            <w:pPr>
              <w:pStyle w:val="NoSpacing"/>
              <w:jc w:val="center"/>
              <w:rPr>
                <w:b/>
              </w:rPr>
            </w:pPr>
            <w:r>
              <w:rPr>
                <w:b/>
              </w:rPr>
              <w:t>Planted Population (thousand plants per acre)</w:t>
            </w:r>
          </w:p>
        </w:tc>
        <w:tc>
          <w:tcPr>
            <w:tcW w:w="1870" w:type="dxa"/>
            <w:vAlign w:val="center"/>
          </w:tcPr>
          <w:p w:rsidR="00355648" w:rsidRDefault="00355648" w:rsidP="00355648">
            <w:pPr>
              <w:pStyle w:val="NoSpacing"/>
              <w:jc w:val="center"/>
              <w:rPr>
                <w:b/>
              </w:rPr>
            </w:pPr>
            <w:r>
              <w:rPr>
                <w:b/>
              </w:rPr>
              <w:t>Initial Population (thousand ppa)</w:t>
            </w:r>
          </w:p>
        </w:tc>
        <w:tc>
          <w:tcPr>
            <w:tcW w:w="1870" w:type="dxa"/>
            <w:vAlign w:val="center"/>
          </w:tcPr>
          <w:p w:rsidR="00355648" w:rsidRDefault="00355648" w:rsidP="00355648">
            <w:pPr>
              <w:pStyle w:val="NoSpacing"/>
              <w:jc w:val="center"/>
              <w:rPr>
                <w:b/>
              </w:rPr>
            </w:pPr>
            <w:r>
              <w:rPr>
                <w:b/>
              </w:rPr>
              <w:t>% Germination</w:t>
            </w:r>
          </w:p>
        </w:tc>
        <w:tc>
          <w:tcPr>
            <w:tcW w:w="1870" w:type="dxa"/>
            <w:vAlign w:val="center"/>
          </w:tcPr>
          <w:p w:rsidR="00355648" w:rsidRDefault="00355648" w:rsidP="00355648">
            <w:pPr>
              <w:pStyle w:val="NoSpacing"/>
              <w:jc w:val="center"/>
              <w:rPr>
                <w:b/>
              </w:rPr>
            </w:pPr>
            <w:r>
              <w:rPr>
                <w:b/>
              </w:rPr>
              <w:t>Initial Population (thousand ppa)</w:t>
            </w:r>
          </w:p>
        </w:tc>
        <w:tc>
          <w:tcPr>
            <w:tcW w:w="1870" w:type="dxa"/>
            <w:vAlign w:val="center"/>
          </w:tcPr>
          <w:p w:rsidR="00355648" w:rsidRDefault="00355648" w:rsidP="00355648">
            <w:pPr>
              <w:pStyle w:val="NoSpacing"/>
              <w:jc w:val="center"/>
              <w:rPr>
                <w:b/>
              </w:rPr>
            </w:pPr>
            <w:r>
              <w:rPr>
                <w:b/>
              </w:rPr>
              <w:t>% Germination</w:t>
            </w:r>
          </w:p>
        </w:tc>
      </w:tr>
      <w:tr w:rsidR="00355648" w:rsidTr="00355648">
        <w:tc>
          <w:tcPr>
            <w:tcW w:w="1870" w:type="dxa"/>
            <w:vAlign w:val="center"/>
          </w:tcPr>
          <w:p w:rsidR="00355648" w:rsidRPr="00355648" w:rsidRDefault="00355648" w:rsidP="00355648">
            <w:pPr>
              <w:pStyle w:val="NoSpacing"/>
              <w:jc w:val="center"/>
            </w:pPr>
            <w:r w:rsidRPr="00355648">
              <w:t>80</w:t>
            </w:r>
          </w:p>
        </w:tc>
        <w:tc>
          <w:tcPr>
            <w:tcW w:w="1870" w:type="dxa"/>
            <w:vAlign w:val="center"/>
          </w:tcPr>
          <w:p w:rsidR="00355648" w:rsidRPr="00355648" w:rsidRDefault="00355648" w:rsidP="00355648">
            <w:pPr>
              <w:pStyle w:val="NoSpacing"/>
              <w:jc w:val="center"/>
            </w:pPr>
            <w:r>
              <w:t>63</w:t>
            </w:r>
          </w:p>
        </w:tc>
        <w:tc>
          <w:tcPr>
            <w:tcW w:w="1870" w:type="dxa"/>
            <w:vAlign w:val="center"/>
          </w:tcPr>
          <w:p w:rsidR="00355648" w:rsidRPr="00355648" w:rsidRDefault="00355648" w:rsidP="00355648">
            <w:pPr>
              <w:pStyle w:val="NoSpacing"/>
              <w:jc w:val="center"/>
            </w:pPr>
            <w:r>
              <w:t>79</w:t>
            </w:r>
          </w:p>
        </w:tc>
        <w:tc>
          <w:tcPr>
            <w:tcW w:w="1870" w:type="dxa"/>
            <w:vAlign w:val="center"/>
          </w:tcPr>
          <w:p w:rsidR="00355648" w:rsidRPr="00355648" w:rsidRDefault="008278A3" w:rsidP="00355648">
            <w:pPr>
              <w:pStyle w:val="NoSpacing"/>
              <w:jc w:val="center"/>
            </w:pPr>
            <w:r>
              <w:t>71</w:t>
            </w:r>
          </w:p>
        </w:tc>
        <w:tc>
          <w:tcPr>
            <w:tcW w:w="1870" w:type="dxa"/>
            <w:vAlign w:val="center"/>
          </w:tcPr>
          <w:p w:rsidR="00355648" w:rsidRPr="00355648" w:rsidRDefault="008278A3" w:rsidP="00355648">
            <w:pPr>
              <w:pStyle w:val="NoSpacing"/>
              <w:jc w:val="center"/>
            </w:pPr>
            <w:r>
              <w:t>88</w:t>
            </w:r>
          </w:p>
        </w:tc>
      </w:tr>
      <w:tr w:rsidR="00355648" w:rsidTr="00355648">
        <w:tc>
          <w:tcPr>
            <w:tcW w:w="1870" w:type="dxa"/>
            <w:vAlign w:val="center"/>
          </w:tcPr>
          <w:p w:rsidR="00355648" w:rsidRPr="00355648" w:rsidRDefault="00355648" w:rsidP="00355648">
            <w:pPr>
              <w:pStyle w:val="NoSpacing"/>
              <w:jc w:val="center"/>
            </w:pPr>
            <w:r>
              <w:t>100</w:t>
            </w:r>
          </w:p>
        </w:tc>
        <w:tc>
          <w:tcPr>
            <w:tcW w:w="1870" w:type="dxa"/>
            <w:vAlign w:val="center"/>
          </w:tcPr>
          <w:p w:rsidR="00355648" w:rsidRPr="00355648" w:rsidRDefault="00355648" w:rsidP="00355648">
            <w:pPr>
              <w:pStyle w:val="NoSpacing"/>
              <w:jc w:val="center"/>
            </w:pPr>
            <w:r>
              <w:t>85</w:t>
            </w:r>
          </w:p>
        </w:tc>
        <w:tc>
          <w:tcPr>
            <w:tcW w:w="1870" w:type="dxa"/>
            <w:vAlign w:val="center"/>
          </w:tcPr>
          <w:p w:rsidR="00355648" w:rsidRPr="00355648" w:rsidRDefault="00355648" w:rsidP="00355648">
            <w:pPr>
              <w:pStyle w:val="NoSpacing"/>
              <w:jc w:val="center"/>
            </w:pPr>
            <w:r>
              <w:t>85</w:t>
            </w:r>
          </w:p>
        </w:tc>
        <w:tc>
          <w:tcPr>
            <w:tcW w:w="1870" w:type="dxa"/>
            <w:vAlign w:val="center"/>
          </w:tcPr>
          <w:p w:rsidR="00355648" w:rsidRPr="00355648" w:rsidRDefault="008278A3" w:rsidP="00355648">
            <w:pPr>
              <w:pStyle w:val="NoSpacing"/>
              <w:jc w:val="center"/>
            </w:pPr>
            <w:r>
              <w:t>88</w:t>
            </w:r>
          </w:p>
        </w:tc>
        <w:tc>
          <w:tcPr>
            <w:tcW w:w="1870" w:type="dxa"/>
            <w:vAlign w:val="center"/>
          </w:tcPr>
          <w:p w:rsidR="00355648" w:rsidRPr="00355648" w:rsidRDefault="008278A3" w:rsidP="00355648">
            <w:pPr>
              <w:pStyle w:val="NoSpacing"/>
              <w:jc w:val="center"/>
            </w:pPr>
            <w:r>
              <w:t>88</w:t>
            </w:r>
          </w:p>
        </w:tc>
      </w:tr>
      <w:tr w:rsidR="00355648" w:rsidTr="00355648">
        <w:tc>
          <w:tcPr>
            <w:tcW w:w="1870" w:type="dxa"/>
            <w:vAlign w:val="center"/>
          </w:tcPr>
          <w:p w:rsidR="00355648" w:rsidRPr="00355648" w:rsidRDefault="00355648" w:rsidP="00355648">
            <w:pPr>
              <w:pStyle w:val="NoSpacing"/>
              <w:jc w:val="center"/>
            </w:pPr>
            <w:r>
              <w:t>120</w:t>
            </w:r>
          </w:p>
        </w:tc>
        <w:tc>
          <w:tcPr>
            <w:tcW w:w="1870" w:type="dxa"/>
            <w:vAlign w:val="center"/>
          </w:tcPr>
          <w:p w:rsidR="00355648" w:rsidRPr="00355648" w:rsidRDefault="00355648" w:rsidP="00355648">
            <w:pPr>
              <w:pStyle w:val="NoSpacing"/>
              <w:jc w:val="center"/>
            </w:pPr>
            <w:r>
              <w:t>95</w:t>
            </w:r>
          </w:p>
        </w:tc>
        <w:tc>
          <w:tcPr>
            <w:tcW w:w="1870" w:type="dxa"/>
            <w:vAlign w:val="center"/>
          </w:tcPr>
          <w:p w:rsidR="00355648" w:rsidRPr="00355648" w:rsidRDefault="00355648" w:rsidP="00355648">
            <w:pPr>
              <w:pStyle w:val="NoSpacing"/>
              <w:jc w:val="center"/>
            </w:pPr>
            <w:r>
              <w:t>79</w:t>
            </w:r>
          </w:p>
        </w:tc>
        <w:tc>
          <w:tcPr>
            <w:tcW w:w="1870" w:type="dxa"/>
            <w:vAlign w:val="center"/>
          </w:tcPr>
          <w:p w:rsidR="00355648" w:rsidRPr="00355648" w:rsidRDefault="008278A3" w:rsidP="00355648">
            <w:pPr>
              <w:pStyle w:val="NoSpacing"/>
              <w:jc w:val="center"/>
            </w:pPr>
            <w:r>
              <w:t>117</w:t>
            </w:r>
          </w:p>
        </w:tc>
        <w:tc>
          <w:tcPr>
            <w:tcW w:w="1870" w:type="dxa"/>
            <w:vAlign w:val="center"/>
          </w:tcPr>
          <w:p w:rsidR="00355648" w:rsidRPr="00355648" w:rsidRDefault="008278A3" w:rsidP="00355648">
            <w:pPr>
              <w:pStyle w:val="NoSpacing"/>
              <w:jc w:val="center"/>
            </w:pPr>
            <w:r>
              <w:t>98</w:t>
            </w:r>
          </w:p>
        </w:tc>
      </w:tr>
      <w:tr w:rsidR="00355648" w:rsidTr="00355648">
        <w:tc>
          <w:tcPr>
            <w:tcW w:w="1870" w:type="dxa"/>
            <w:vAlign w:val="center"/>
          </w:tcPr>
          <w:p w:rsidR="00355648" w:rsidRPr="00355648" w:rsidRDefault="00355648" w:rsidP="00355648">
            <w:pPr>
              <w:pStyle w:val="NoSpacing"/>
              <w:jc w:val="center"/>
            </w:pPr>
            <w:r>
              <w:t>140</w:t>
            </w:r>
          </w:p>
        </w:tc>
        <w:tc>
          <w:tcPr>
            <w:tcW w:w="1870" w:type="dxa"/>
            <w:vAlign w:val="center"/>
          </w:tcPr>
          <w:p w:rsidR="00355648" w:rsidRPr="00355648" w:rsidRDefault="00355648" w:rsidP="00355648">
            <w:pPr>
              <w:pStyle w:val="NoSpacing"/>
              <w:jc w:val="center"/>
            </w:pPr>
            <w:r>
              <w:t>123</w:t>
            </w:r>
          </w:p>
        </w:tc>
        <w:tc>
          <w:tcPr>
            <w:tcW w:w="1870" w:type="dxa"/>
            <w:vAlign w:val="center"/>
          </w:tcPr>
          <w:p w:rsidR="00355648" w:rsidRPr="00355648" w:rsidRDefault="00355648" w:rsidP="00355648">
            <w:pPr>
              <w:pStyle w:val="NoSpacing"/>
              <w:jc w:val="center"/>
            </w:pPr>
            <w:r>
              <w:t>88</w:t>
            </w:r>
          </w:p>
        </w:tc>
        <w:tc>
          <w:tcPr>
            <w:tcW w:w="1870" w:type="dxa"/>
            <w:vAlign w:val="center"/>
          </w:tcPr>
          <w:p w:rsidR="00355648" w:rsidRPr="00355648" w:rsidRDefault="008278A3" w:rsidP="00355648">
            <w:pPr>
              <w:pStyle w:val="NoSpacing"/>
              <w:jc w:val="center"/>
            </w:pPr>
            <w:r>
              <w:t>124</w:t>
            </w:r>
          </w:p>
        </w:tc>
        <w:tc>
          <w:tcPr>
            <w:tcW w:w="1870" w:type="dxa"/>
            <w:vAlign w:val="center"/>
          </w:tcPr>
          <w:p w:rsidR="00355648" w:rsidRPr="00355648" w:rsidRDefault="008278A3" w:rsidP="00355648">
            <w:pPr>
              <w:pStyle w:val="NoSpacing"/>
              <w:jc w:val="center"/>
            </w:pPr>
            <w:r>
              <w:t>88</w:t>
            </w:r>
          </w:p>
        </w:tc>
      </w:tr>
      <w:tr w:rsidR="00355648" w:rsidTr="00355648">
        <w:tc>
          <w:tcPr>
            <w:tcW w:w="1870" w:type="dxa"/>
            <w:vAlign w:val="center"/>
          </w:tcPr>
          <w:p w:rsidR="00355648" w:rsidRDefault="00355648" w:rsidP="00355648">
            <w:pPr>
              <w:pStyle w:val="NoSpacing"/>
              <w:jc w:val="center"/>
            </w:pPr>
            <w:r>
              <w:t>160</w:t>
            </w:r>
          </w:p>
        </w:tc>
        <w:tc>
          <w:tcPr>
            <w:tcW w:w="1870" w:type="dxa"/>
            <w:vAlign w:val="center"/>
          </w:tcPr>
          <w:p w:rsidR="00355648" w:rsidRPr="00355648" w:rsidRDefault="00355648" w:rsidP="00355648">
            <w:pPr>
              <w:pStyle w:val="NoSpacing"/>
              <w:jc w:val="center"/>
            </w:pPr>
            <w:r>
              <w:t>135</w:t>
            </w:r>
          </w:p>
        </w:tc>
        <w:tc>
          <w:tcPr>
            <w:tcW w:w="1870" w:type="dxa"/>
            <w:vAlign w:val="center"/>
          </w:tcPr>
          <w:p w:rsidR="00355648" w:rsidRPr="00355648" w:rsidRDefault="00355648" w:rsidP="00355648">
            <w:pPr>
              <w:pStyle w:val="NoSpacing"/>
              <w:jc w:val="center"/>
            </w:pPr>
            <w:r>
              <w:t>84</w:t>
            </w:r>
          </w:p>
        </w:tc>
        <w:tc>
          <w:tcPr>
            <w:tcW w:w="1870" w:type="dxa"/>
            <w:vAlign w:val="center"/>
          </w:tcPr>
          <w:p w:rsidR="00355648" w:rsidRPr="00355648" w:rsidRDefault="008278A3" w:rsidP="00355648">
            <w:pPr>
              <w:pStyle w:val="NoSpacing"/>
              <w:jc w:val="center"/>
            </w:pPr>
            <w:r>
              <w:t>153</w:t>
            </w:r>
          </w:p>
        </w:tc>
        <w:tc>
          <w:tcPr>
            <w:tcW w:w="1870" w:type="dxa"/>
            <w:vAlign w:val="center"/>
          </w:tcPr>
          <w:p w:rsidR="00355648" w:rsidRPr="00355648" w:rsidRDefault="008278A3" w:rsidP="00355648">
            <w:pPr>
              <w:pStyle w:val="NoSpacing"/>
              <w:jc w:val="center"/>
            </w:pPr>
            <w:r>
              <w:t>96</w:t>
            </w:r>
          </w:p>
        </w:tc>
      </w:tr>
    </w:tbl>
    <w:p w:rsidR="00734C6C" w:rsidRDefault="00734C6C" w:rsidP="00355648">
      <w:pPr>
        <w:pStyle w:val="NoSpacing"/>
      </w:pPr>
    </w:p>
    <w:p w:rsidR="00734C6C" w:rsidRDefault="00734C6C" w:rsidP="00355648">
      <w:pPr>
        <w:pStyle w:val="NoSpacing"/>
      </w:pPr>
    </w:p>
    <w:p w:rsidR="00734C6C" w:rsidRPr="00734C6C" w:rsidRDefault="00734C6C" w:rsidP="00355648">
      <w:pPr>
        <w:pStyle w:val="NoSpacing"/>
      </w:pPr>
    </w:p>
    <w:p w:rsidR="00734C6C" w:rsidRPr="00734C6C" w:rsidRDefault="00734C6C" w:rsidP="00355648">
      <w:pPr>
        <w:pStyle w:val="NoSpacing"/>
      </w:pPr>
      <w:r w:rsidRPr="00734C6C">
        <w:t>Table 2.</w:t>
      </w:r>
      <w:r>
        <w:t xml:space="preserve"> Average Yield at 13.5% Moisture.</w:t>
      </w:r>
    </w:p>
    <w:tbl>
      <w:tblPr>
        <w:tblStyle w:val="TableGrid"/>
        <w:tblW w:w="0" w:type="auto"/>
        <w:tblLook w:val="04A0" w:firstRow="1" w:lastRow="0" w:firstColumn="1" w:lastColumn="0" w:noHBand="0" w:noVBand="1"/>
      </w:tblPr>
      <w:tblGrid>
        <w:gridCol w:w="2337"/>
        <w:gridCol w:w="2337"/>
        <w:gridCol w:w="2338"/>
      </w:tblGrid>
      <w:tr w:rsidR="00172305" w:rsidTr="00D72729">
        <w:tc>
          <w:tcPr>
            <w:tcW w:w="2337" w:type="dxa"/>
            <w:vAlign w:val="center"/>
          </w:tcPr>
          <w:p w:rsidR="00172305" w:rsidRDefault="00172305" w:rsidP="00734C6C">
            <w:pPr>
              <w:pStyle w:val="NoSpacing"/>
              <w:jc w:val="center"/>
              <w:rPr>
                <w:b/>
              </w:rPr>
            </w:pPr>
          </w:p>
        </w:tc>
        <w:tc>
          <w:tcPr>
            <w:tcW w:w="4675" w:type="dxa"/>
            <w:gridSpan w:val="2"/>
            <w:vAlign w:val="center"/>
          </w:tcPr>
          <w:p w:rsidR="00172305" w:rsidRDefault="00172305" w:rsidP="00734C6C">
            <w:pPr>
              <w:pStyle w:val="NoSpacing"/>
              <w:jc w:val="center"/>
              <w:rPr>
                <w:b/>
              </w:rPr>
            </w:pPr>
            <w:r>
              <w:rPr>
                <w:b/>
              </w:rPr>
              <w:t>Yield (bu/A)</w:t>
            </w:r>
          </w:p>
        </w:tc>
      </w:tr>
      <w:tr w:rsidR="00172305" w:rsidTr="00734C6C">
        <w:tc>
          <w:tcPr>
            <w:tcW w:w="2337" w:type="dxa"/>
            <w:vAlign w:val="center"/>
          </w:tcPr>
          <w:p w:rsidR="00172305" w:rsidRDefault="00172305" w:rsidP="00734C6C">
            <w:pPr>
              <w:pStyle w:val="NoSpacing"/>
              <w:jc w:val="center"/>
              <w:rPr>
                <w:b/>
              </w:rPr>
            </w:pPr>
            <w:r>
              <w:rPr>
                <w:b/>
              </w:rPr>
              <w:t>Planted Population (thousand plants per acre)</w:t>
            </w:r>
          </w:p>
        </w:tc>
        <w:tc>
          <w:tcPr>
            <w:tcW w:w="2337" w:type="dxa"/>
            <w:vAlign w:val="center"/>
          </w:tcPr>
          <w:p w:rsidR="00172305" w:rsidRDefault="00172305" w:rsidP="00734C6C">
            <w:pPr>
              <w:pStyle w:val="NoSpacing"/>
              <w:jc w:val="center"/>
              <w:rPr>
                <w:b/>
              </w:rPr>
            </w:pPr>
            <w:r>
              <w:rPr>
                <w:b/>
              </w:rPr>
              <w:t>Thurmont Farm</w:t>
            </w:r>
          </w:p>
        </w:tc>
        <w:tc>
          <w:tcPr>
            <w:tcW w:w="2338" w:type="dxa"/>
            <w:vAlign w:val="center"/>
          </w:tcPr>
          <w:p w:rsidR="00172305" w:rsidRDefault="00172305" w:rsidP="00734C6C">
            <w:pPr>
              <w:pStyle w:val="NoSpacing"/>
              <w:jc w:val="center"/>
              <w:rPr>
                <w:b/>
              </w:rPr>
            </w:pPr>
            <w:r>
              <w:rPr>
                <w:b/>
              </w:rPr>
              <w:t>Tuscarora Farm</w:t>
            </w:r>
          </w:p>
        </w:tc>
      </w:tr>
      <w:tr w:rsidR="00172305" w:rsidTr="003B0A6C">
        <w:tc>
          <w:tcPr>
            <w:tcW w:w="2337" w:type="dxa"/>
            <w:vAlign w:val="center"/>
          </w:tcPr>
          <w:p w:rsidR="00172305" w:rsidRPr="00355648" w:rsidRDefault="00172305" w:rsidP="00734C6C">
            <w:pPr>
              <w:pStyle w:val="NoSpacing"/>
              <w:jc w:val="center"/>
            </w:pPr>
            <w:r w:rsidRPr="00355648">
              <w:t>80</w:t>
            </w:r>
          </w:p>
        </w:tc>
        <w:tc>
          <w:tcPr>
            <w:tcW w:w="2337" w:type="dxa"/>
          </w:tcPr>
          <w:p w:rsidR="00172305" w:rsidRPr="00734C6C" w:rsidRDefault="00172305" w:rsidP="00734C6C">
            <w:pPr>
              <w:pStyle w:val="NoSpacing"/>
              <w:jc w:val="center"/>
            </w:pPr>
            <w:r>
              <w:t>67</w:t>
            </w:r>
            <w:r w:rsidR="00247130">
              <w:t xml:space="preserve"> a</w:t>
            </w:r>
            <w:r w:rsidR="008422C8">
              <w:t>*</w:t>
            </w:r>
          </w:p>
        </w:tc>
        <w:tc>
          <w:tcPr>
            <w:tcW w:w="2338" w:type="dxa"/>
          </w:tcPr>
          <w:p w:rsidR="00172305" w:rsidRPr="00734C6C" w:rsidRDefault="00172305" w:rsidP="00734C6C">
            <w:pPr>
              <w:pStyle w:val="NoSpacing"/>
              <w:jc w:val="center"/>
            </w:pPr>
            <w:r>
              <w:t>61</w:t>
            </w:r>
            <w:r w:rsidR="00247130">
              <w:t xml:space="preserve"> a</w:t>
            </w:r>
            <w:r w:rsidR="008422C8">
              <w:t>*</w:t>
            </w:r>
          </w:p>
        </w:tc>
      </w:tr>
      <w:tr w:rsidR="00172305" w:rsidTr="003B0A6C">
        <w:tc>
          <w:tcPr>
            <w:tcW w:w="2337" w:type="dxa"/>
            <w:vAlign w:val="center"/>
          </w:tcPr>
          <w:p w:rsidR="00172305" w:rsidRPr="00355648" w:rsidRDefault="00172305" w:rsidP="00734C6C">
            <w:pPr>
              <w:pStyle w:val="NoSpacing"/>
              <w:jc w:val="center"/>
            </w:pPr>
            <w:r>
              <w:t>100</w:t>
            </w:r>
          </w:p>
        </w:tc>
        <w:tc>
          <w:tcPr>
            <w:tcW w:w="2337" w:type="dxa"/>
          </w:tcPr>
          <w:p w:rsidR="00172305" w:rsidRPr="00734C6C" w:rsidRDefault="00172305" w:rsidP="00734C6C">
            <w:pPr>
              <w:pStyle w:val="NoSpacing"/>
              <w:jc w:val="center"/>
            </w:pPr>
            <w:r>
              <w:t>68</w:t>
            </w:r>
            <w:r w:rsidR="00247130">
              <w:t xml:space="preserve"> a</w:t>
            </w:r>
          </w:p>
        </w:tc>
        <w:tc>
          <w:tcPr>
            <w:tcW w:w="2338" w:type="dxa"/>
          </w:tcPr>
          <w:p w:rsidR="00172305" w:rsidRPr="00734C6C" w:rsidRDefault="00172305" w:rsidP="00734C6C">
            <w:pPr>
              <w:pStyle w:val="NoSpacing"/>
              <w:jc w:val="center"/>
            </w:pPr>
            <w:r>
              <w:t>63</w:t>
            </w:r>
            <w:r w:rsidR="00247130">
              <w:t xml:space="preserve"> a</w:t>
            </w:r>
          </w:p>
        </w:tc>
      </w:tr>
      <w:tr w:rsidR="00172305" w:rsidTr="003B0A6C">
        <w:tc>
          <w:tcPr>
            <w:tcW w:w="2337" w:type="dxa"/>
            <w:vAlign w:val="center"/>
          </w:tcPr>
          <w:p w:rsidR="00172305" w:rsidRPr="00355648" w:rsidRDefault="00172305" w:rsidP="00734C6C">
            <w:pPr>
              <w:pStyle w:val="NoSpacing"/>
              <w:jc w:val="center"/>
            </w:pPr>
            <w:r>
              <w:t>120</w:t>
            </w:r>
          </w:p>
        </w:tc>
        <w:tc>
          <w:tcPr>
            <w:tcW w:w="2337" w:type="dxa"/>
          </w:tcPr>
          <w:p w:rsidR="00172305" w:rsidRPr="00734C6C" w:rsidRDefault="00172305" w:rsidP="00734C6C">
            <w:pPr>
              <w:pStyle w:val="NoSpacing"/>
              <w:jc w:val="center"/>
            </w:pPr>
            <w:r>
              <w:t>69</w:t>
            </w:r>
            <w:r w:rsidR="00247130">
              <w:t xml:space="preserve"> a</w:t>
            </w:r>
          </w:p>
        </w:tc>
        <w:tc>
          <w:tcPr>
            <w:tcW w:w="2338" w:type="dxa"/>
          </w:tcPr>
          <w:p w:rsidR="00172305" w:rsidRPr="00734C6C" w:rsidRDefault="00172305" w:rsidP="00734C6C">
            <w:pPr>
              <w:pStyle w:val="NoSpacing"/>
              <w:jc w:val="center"/>
            </w:pPr>
            <w:r>
              <w:t>64</w:t>
            </w:r>
            <w:r w:rsidR="00247130">
              <w:t xml:space="preserve"> a</w:t>
            </w:r>
          </w:p>
        </w:tc>
      </w:tr>
      <w:tr w:rsidR="00172305" w:rsidTr="003B0A6C">
        <w:tc>
          <w:tcPr>
            <w:tcW w:w="2337" w:type="dxa"/>
            <w:vAlign w:val="center"/>
          </w:tcPr>
          <w:p w:rsidR="00172305" w:rsidRPr="00355648" w:rsidRDefault="00172305" w:rsidP="00734C6C">
            <w:pPr>
              <w:pStyle w:val="NoSpacing"/>
              <w:jc w:val="center"/>
            </w:pPr>
            <w:r>
              <w:t>140</w:t>
            </w:r>
          </w:p>
        </w:tc>
        <w:tc>
          <w:tcPr>
            <w:tcW w:w="2337" w:type="dxa"/>
          </w:tcPr>
          <w:p w:rsidR="00172305" w:rsidRPr="00734C6C" w:rsidRDefault="00172305" w:rsidP="00734C6C">
            <w:pPr>
              <w:pStyle w:val="NoSpacing"/>
              <w:jc w:val="center"/>
            </w:pPr>
            <w:r>
              <w:t>69</w:t>
            </w:r>
            <w:r w:rsidR="00247130">
              <w:t xml:space="preserve"> a</w:t>
            </w:r>
          </w:p>
        </w:tc>
        <w:tc>
          <w:tcPr>
            <w:tcW w:w="2338" w:type="dxa"/>
          </w:tcPr>
          <w:p w:rsidR="00172305" w:rsidRPr="00734C6C" w:rsidRDefault="00172305" w:rsidP="00734C6C">
            <w:pPr>
              <w:pStyle w:val="NoSpacing"/>
              <w:jc w:val="center"/>
            </w:pPr>
            <w:r>
              <w:t>63</w:t>
            </w:r>
            <w:r w:rsidR="00247130">
              <w:t xml:space="preserve"> a</w:t>
            </w:r>
          </w:p>
        </w:tc>
      </w:tr>
      <w:tr w:rsidR="00172305" w:rsidTr="003B0A6C">
        <w:tc>
          <w:tcPr>
            <w:tcW w:w="2337" w:type="dxa"/>
            <w:vAlign w:val="center"/>
          </w:tcPr>
          <w:p w:rsidR="00172305" w:rsidRDefault="00172305" w:rsidP="00734C6C">
            <w:pPr>
              <w:pStyle w:val="NoSpacing"/>
              <w:jc w:val="center"/>
            </w:pPr>
            <w:r>
              <w:t>160</w:t>
            </w:r>
          </w:p>
        </w:tc>
        <w:tc>
          <w:tcPr>
            <w:tcW w:w="2337" w:type="dxa"/>
          </w:tcPr>
          <w:p w:rsidR="00172305" w:rsidRPr="00734C6C" w:rsidRDefault="00172305" w:rsidP="00734C6C">
            <w:pPr>
              <w:pStyle w:val="NoSpacing"/>
              <w:jc w:val="center"/>
            </w:pPr>
            <w:r>
              <w:t>70</w:t>
            </w:r>
            <w:r w:rsidR="00247130">
              <w:t xml:space="preserve">a </w:t>
            </w:r>
          </w:p>
        </w:tc>
        <w:tc>
          <w:tcPr>
            <w:tcW w:w="2338" w:type="dxa"/>
          </w:tcPr>
          <w:p w:rsidR="00172305" w:rsidRPr="00734C6C" w:rsidRDefault="00172305" w:rsidP="00734C6C">
            <w:pPr>
              <w:pStyle w:val="NoSpacing"/>
              <w:jc w:val="center"/>
            </w:pPr>
            <w:r>
              <w:t>61</w:t>
            </w:r>
            <w:r w:rsidR="00247130">
              <w:t xml:space="preserve"> a</w:t>
            </w:r>
          </w:p>
        </w:tc>
      </w:tr>
    </w:tbl>
    <w:p w:rsidR="00734C6C" w:rsidRDefault="008422C8" w:rsidP="00355648">
      <w:pPr>
        <w:pStyle w:val="NoSpacing"/>
      </w:pPr>
      <w:r>
        <w:t>*</w:t>
      </w:r>
      <w:r w:rsidR="00247130">
        <w:t>The same letter indicates no significant different between treatments on the individual farm.</w:t>
      </w:r>
    </w:p>
    <w:p w:rsidR="00620BEC" w:rsidRDefault="00620BEC" w:rsidP="00355648">
      <w:pPr>
        <w:pStyle w:val="NoSpacing"/>
      </w:pPr>
    </w:p>
    <w:p w:rsidR="00486F3D" w:rsidRDefault="00486F3D" w:rsidP="00355648">
      <w:pPr>
        <w:pStyle w:val="NoSpacing"/>
      </w:pPr>
    </w:p>
    <w:p w:rsidR="00486F3D" w:rsidRPr="0068032A" w:rsidRDefault="00486F3D" w:rsidP="00355648">
      <w:pPr>
        <w:pStyle w:val="NoSpacing"/>
      </w:pPr>
    </w:p>
    <w:p w:rsidR="0068032A" w:rsidRDefault="0068032A" w:rsidP="00355648">
      <w:pPr>
        <w:pStyle w:val="NoSpacing"/>
      </w:pPr>
      <w:r w:rsidRPr="0068032A">
        <w:t xml:space="preserve">Table </w:t>
      </w:r>
      <w:r>
        <w:t>3.</w:t>
      </w:r>
      <w:r w:rsidR="0069686A">
        <w:t xml:space="preserve"> Net</w:t>
      </w:r>
      <w:r w:rsidR="007627BB">
        <w:t xml:space="preserve"> Amount</w:t>
      </w:r>
      <w:r w:rsidR="0069686A">
        <w:t xml:space="preserve"> </w:t>
      </w:r>
      <w:r w:rsidR="007627BB">
        <w:t xml:space="preserve">in </w:t>
      </w:r>
      <w:r w:rsidR="0069686A">
        <w:t>$/A.</w:t>
      </w:r>
    </w:p>
    <w:tbl>
      <w:tblPr>
        <w:tblStyle w:val="TableGrid"/>
        <w:tblW w:w="0" w:type="auto"/>
        <w:tblLook w:val="04A0" w:firstRow="1" w:lastRow="0" w:firstColumn="1" w:lastColumn="0" w:noHBand="0" w:noVBand="1"/>
      </w:tblPr>
      <w:tblGrid>
        <w:gridCol w:w="3116"/>
        <w:gridCol w:w="3117"/>
        <w:gridCol w:w="3117"/>
      </w:tblGrid>
      <w:tr w:rsidR="00620BEC" w:rsidTr="00620BEC">
        <w:tc>
          <w:tcPr>
            <w:tcW w:w="3116" w:type="dxa"/>
          </w:tcPr>
          <w:p w:rsidR="00620BEC" w:rsidRDefault="00620BEC" w:rsidP="00355648">
            <w:pPr>
              <w:pStyle w:val="NoSpacing"/>
            </w:pPr>
          </w:p>
        </w:tc>
        <w:tc>
          <w:tcPr>
            <w:tcW w:w="6234" w:type="dxa"/>
            <w:gridSpan w:val="2"/>
            <w:vAlign w:val="center"/>
          </w:tcPr>
          <w:p w:rsidR="00620BEC" w:rsidRPr="00620BEC" w:rsidRDefault="00620BEC" w:rsidP="0069686A">
            <w:pPr>
              <w:pStyle w:val="NoSpacing"/>
              <w:jc w:val="center"/>
              <w:rPr>
                <w:b/>
              </w:rPr>
            </w:pPr>
            <w:r>
              <w:rPr>
                <w:b/>
              </w:rPr>
              <w:t xml:space="preserve">Net </w:t>
            </w:r>
            <w:r w:rsidR="0069686A">
              <w:rPr>
                <w:b/>
              </w:rPr>
              <w:t>$</w:t>
            </w:r>
            <w:r>
              <w:rPr>
                <w:b/>
              </w:rPr>
              <w:t>/A</w:t>
            </w:r>
          </w:p>
        </w:tc>
      </w:tr>
      <w:tr w:rsidR="00620BEC" w:rsidTr="00486A19">
        <w:tc>
          <w:tcPr>
            <w:tcW w:w="3116" w:type="dxa"/>
            <w:vAlign w:val="center"/>
          </w:tcPr>
          <w:p w:rsidR="00620BEC" w:rsidRDefault="00620BEC" w:rsidP="00620BEC">
            <w:pPr>
              <w:pStyle w:val="NoSpacing"/>
              <w:jc w:val="center"/>
              <w:rPr>
                <w:b/>
              </w:rPr>
            </w:pPr>
            <w:r>
              <w:rPr>
                <w:b/>
              </w:rPr>
              <w:t>Planted Population (thousand plants per acre)</w:t>
            </w:r>
          </w:p>
        </w:tc>
        <w:tc>
          <w:tcPr>
            <w:tcW w:w="3117" w:type="dxa"/>
            <w:vAlign w:val="center"/>
          </w:tcPr>
          <w:p w:rsidR="00620BEC" w:rsidRDefault="00620BEC" w:rsidP="00620BEC">
            <w:pPr>
              <w:pStyle w:val="NoSpacing"/>
              <w:jc w:val="center"/>
              <w:rPr>
                <w:b/>
              </w:rPr>
            </w:pPr>
            <w:r>
              <w:rPr>
                <w:b/>
              </w:rPr>
              <w:t>Thurmont Farm</w:t>
            </w:r>
          </w:p>
        </w:tc>
        <w:tc>
          <w:tcPr>
            <w:tcW w:w="3117" w:type="dxa"/>
            <w:vAlign w:val="center"/>
          </w:tcPr>
          <w:p w:rsidR="00620BEC" w:rsidRDefault="00620BEC" w:rsidP="00620BEC">
            <w:pPr>
              <w:pStyle w:val="NoSpacing"/>
              <w:jc w:val="center"/>
              <w:rPr>
                <w:b/>
              </w:rPr>
            </w:pPr>
            <w:r>
              <w:rPr>
                <w:b/>
              </w:rPr>
              <w:t>Tuscarora Farm</w:t>
            </w:r>
          </w:p>
        </w:tc>
      </w:tr>
      <w:tr w:rsidR="0069686A" w:rsidTr="00366AB1">
        <w:tc>
          <w:tcPr>
            <w:tcW w:w="3116" w:type="dxa"/>
            <w:vAlign w:val="center"/>
          </w:tcPr>
          <w:p w:rsidR="0069686A" w:rsidRPr="00355648" w:rsidRDefault="0069686A" w:rsidP="0069686A">
            <w:pPr>
              <w:pStyle w:val="NoSpacing"/>
              <w:jc w:val="center"/>
            </w:pPr>
            <w:r w:rsidRPr="00355648">
              <w:t>80</w:t>
            </w:r>
          </w:p>
        </w:tc>
        <w:tc>
          <w:tcPr>
            <w:tcW w:w="3117" w:type="dxa"/>
            <w:vAlign w:val="bottom"/>
          </w:tcPr>
          <w:p w:rsidR="0069686A" w:rsidRDefault="0069686A" w:rsidP="0069686A">
            <w:pPr>
              <w:jc w:val="center"/>
              <w:rPr>
                <w:rFonts w:ascii="Calibri" w:hAnsi="Calibri" w:cs="Calibri"/>
                <w:color w:val="000000"/>
              </w:rPr>
            </w:pPr>
            <w:r>
              <w:rPr>
                <w:rFonts w:ascii="Calibri" w:hAnsi="Calibri" w:cs="Calibri"/>
                <w:color w:val="000000"/>
              </w:rPr>
              <w:t>596.92</w:t>
            </w:r>
          </w:p>
        </w:tc>
        <w:tc>
          <w:tcPr>
            <w:tcW w:w="3117" w:type="dxa"/>
            <w:vAlign w:val="bottom"/>
          </w:tcPr>
          <w:p w:rsidR="0069686A" w:rsidRDefault="0069686A" w:rsidP="0069686A">
            <w:pPr>
              <w:jc w:val="center"/>
              <w:rPr>
                <w:rFonts w:ascii="Calibri" w:hAnsi="Calibri" w:cs="Calibri"/>
                <w:color w:val="000000"/>
              </w:rPr>
            </w:pPr>
            <w:r>
              <w:rPr>
                <w:rFonts w:ascii="Calibri" w:hAnsi="Calibri" w:cs="Calibri"/>
                <w:color w:val="000000"/>
              </w:rPr>
              <w:t>548.18</w:t>
            </w:r>
          </w:p>
        </w:tc>
      </w:tr>
      <w:tr w:rsidR="0069686A" w:rsidTr="00366AB1">
        <w:tc>
          <w:tcPr>
            <w:tcW w:w="3116" w:type="dxa"/>
            <w:vAlign w:val="center"/>
          </w:tcPr>
          <w:p w:rsidR="0069686A" w:rsidRPr="00355648" w:rsidRDefault="0069686A" w:rsidP="0069686A">
            <w:pPr>
              <w:pStyle w:val="NoSpacing"/>
              <w:jc w:val="center"/>
            </w:pPr>
            <w:r>
              <w:t>100</w:t>
            </w:r>
          </w:p>
        </w:tc>
        <w:tc>
          <w:tcPr>
            <w:tcW w:w="3117" w:type="dxa"/>
            <w:vAlign w:val="bottom"/>
          </w:tcPr>
          <w:p w:rsidR="0069686A" w:rsidRDefault="0069686A" w:rsidP="0069686A">
            <w:pPr>
              <w:jc w:val="center"/>
              <w:rPr>
                <w:rFonts w:ascii="Calibri" w:hAnsi="Calibri" w:cs="Calibri"/>
                <w:color w:val="000000"/>
              </w:rPr>
            </w:pPr>
            <w:r>
              <w:rPr>
                <w:rFonts w:ascii="Calibri" w:hAnsi="Calibri" w:cs="Calibri"/>
                <w:color w:val="000000"/>
              </w:rPr>
              <w:t>598.19</w:t>
            </w:r>
          </w:p>
        </w:tc>
        <w:tc>
          <w:tcPr>
            <w:tcW w:w="3117" w:type="dxa"/>
            <w:vAlign w:val="bottom"/>
          </w:tcPr>
          <w:p w:rsidR="0069686A" w:rsidRDefault="0069686A" w:rsidP="0069686A">
            <w:pPr>
              <w:jc w:val="center"/>
              <w:rPr>
                <w:rFonts w:ascii="Calibri" w:hAnsi="Calibri" w:cs="Calibri"/>
                <w:color w:val="000000"/>
              </w:rPr>
            </w:pPr>
            <w:r>
              <w:rPr>
                <w:rFonts w:ascii="Calibri" w:hAnsi="Calibri" w:cs="Calibri"/>
                <w:color w:val="000000"/>
              </w:rPr>
              <w:t>554.78</w:t>
            </w:r>
          </w:p>
        </w:tc>
      </w:tr>
      <w:tr w:rsidR="0069686A" w:rsidTr="00366AB1">
        <w:tc>
          <w:tcPr>
            <w:tcW w:w="3116" w:type="dxa"/>
            <w:vAlign w:val="center"/>
          </w:tcPr>
          <w:p w:rsidR="0069686A" w:rsidRPr="00355648" w:rsidRDefault="0069686A" w:rsidP="0069686A">
            <w:pPr>
              <w:pStyle w:val="NoSpacing"/>
              <w:jc w:val="center"/>
            </w:pPr>
            <w:r>
              <w:t>120</w:t>
            </w:r>
          </w:p>
        </w:tc>
        <w:tc>
          <w:tcPr>
            <w:tcW w:w="3117" w:type="dxa"/>
            <w:vAlign w:val="bottom"/>
          </w:tcPr>
          <w:p w:rsidR="0069686A" w:rsidRDefault="0069686A" w:rsidP="0069686A">
            <w:pPr>
              <w:jc w:val="center"/>
              <w:rPr>
                <w:rFonts w:ascii="Calibri" w:hAnsi="Calibri" w:cs="Calibri"/>
                <w:color w:val="000000"/>
              </w:rPr>
            </w:pPr>
            <w:r>
              <w:rPr>
                <w:rFonts w:ascii="Calibri" w:hAnsi="Calibri" w:cs="Calibri"/>
                <w:color w:val="000000"/>
              </w:rPr>
              <w:t>595.33</w:t>
            </w:r>
          </w:p>
        </w:tc>
        <w:tc>
          <w:tcPr>
            <w:tcW w:w="3117" w:type="dxa"/>
            <w:vAlign w:val="bottom"/>
          </w:tcPr>
          <w:p w:rsidR="0069686A" w:rsidRDefault="0069686A" w:rsidP="0069686A">
            <w:pPr>
              <w:jc w:val="center"/>
              <w:rPr>
                <w:rFonts w:ascii="Calibri" w:hAnsi="Calibri" w:cs="Calibri"/>
                <w:color w:val="000000"/>
              </w:rPr>
            </w:pPr>
            <w:r>
              <w:rPr>
                <w:rFonts w:ascii="Calibri" w:hAnsi="Calibri" w:cs="Calibri"/>
                <w:color w:val="000000"/>
              </w:rPr>
              <w:t>560.13</w:t>
            </w:r>
          </w:p>
        </w:tc>
      </w:tr>
      <w:tr w:rsidR="0069686A" w:rsidTr="00366AB1">
        <w:tc>
          <w:tcPr>
            <w:tcW w:w="3116" w:type="dxa"/>
            <w:vAlign w:val="center"/>
          </w:tcPr>
          <w:p w:rsidR="0069686A" w:rsidRPr="00355648" w:rsidRDefault="0069686A" w:rsidP="0069686A">
            <w:pPr>
              <w:pStyle w:val="NoSpacing"/>
              <w:jc w:val="center"/>
            </w:pPr>
            <w:r>
              <w:t>140</w:t>
            </w:r>
          </w:p>
        </w:tc>
        <w:tc>
          <w:tcPr>
            <w:tcW w:w="3117" w:type="dxa"/>
            <w:vAlign w:val="bottom"/>
          </w:tcPr>
          <w:p w:rsidR="0069686A" w:rsidRDefault="0069686A" w:rsidP="0069686A">
            <w:pPr>
              <w:jc w:val="center"/>
              <w:rPr>
                <w:rFonts w:ascii="Calibri" w:hAnsi="Calibri" w:cs="Calibri"/>
                <w:color w:val="000000"/>
              </w:rPr>
            </w:pPr>
            <w:r>
              <w:rPr>
                <w:rFonts w:ascii="Calibri" w:hAnsi="Calibri" w:cs="Calibri"/>
                <w:color w:val="000000"/>
              </w:rPr>
              <w:t>581.39</w:t>
            </w:r>
          </w:p>
        </w:tc>
        <w:tc>
          <w:tcPr>
            <w:tcW w:w="3117" w:type="dxa"/>
            <w:vAlign w:val="bottom"/>
          </w:tcPr>
          <w:p w:rsidR="0069686A" w:rsidRDefault="0069686A" w:rsidP="0069686A">
            <w:pPr>
              <w:jc w:val="center"/>
              <w:rPr>
                <w:rFonts w:ascii="Calibri" w:hAnsi="Calibri" w:cs="Calibri"/>
                <w:color w:val="000000"/>
              </w:rPr>
            </w:pPr>
            <w:r>
              <w:rPr>
                <w:rFonts w:ascii="Calibri" w:hAnsi="Calibri" w:cs="Calibri"/>
                <w:color w:val="000000"/>
              </w:rPr>
              <w:t>542.89</w:t>
            </w:r>
          </w:p>
        </w:tc>
      </w:tr>
      <w:tr w:rsidR="0069686A" w:rsidTr="00366AB1">
        <w:tc>
          <w:tcPr>
            <w:tcW w:w="3116" w:type="dxa"/>
            <w:vAlign w:val="center"/>
          </w:tcPr>
          <w:p w:rsidR="0069686A" w:rsidRDefault="0069686A" w:rsidP="0069686A">
            <w:pPr>
              <w:pStyle w:val="NoSpacing"/>
              <w:jc w:val="center"/>
            </w:pPr>
            <w:r>
              <w:t>160</w:t>
            </w:r>
          </w:p>
        </w:tc>
        <w:tc>
          <w:tcPr>
            <w:tcW w:w="3117" w:type="dxa"/>
            <w:vAlign w:val="bottom"/>
          </w:tcPr>
          <w:p w:rsidR="0069686A" w:rsidRDefault="0069686A" w:rsidP="0069686A">
            <w:pPr>
              <w:jc w:val="center"/>
              <w:rPr>
                <w:rFonts w:ascii="Calibri" w:hAnsi="Calibri" w:cs="Calibri"/>
                <w:color w:val="000000"/>
              </w:rPr>
            </w:pPr>
            <w:r>
              <w:rPr>
                <w:rFonts w:ascii="Calibri" w:hAnsi="Calibri" w:cs="Calibri"/>
                <w:color w:val="000000"/>
              </w:rPr>
              <w:t>581.71</w:t>
            </w:r>
          </w:p>
        </w:tc>
        <w:tc>
          <w:tcPr>
            <w:tcW w:w="3117" w:type="dxa"/>
            <w:vAlign w:val="bottom"/>
          </w:tcPr>
          <w:p w:rsidR="0069686A" w:rsidRDefault="0069686A" w:rsidP="0069686A">
            <w:pPr>
              <w:jc w:val="center"/>
              <w:rPr>
                <w:rFonts w:ascii="Calibri" w:hAnsi="Calibri" w:cs="Calibri"/>
                <w:color w:val="000000"/>
              </w:rPr>
            </w:pPr>
            <w:r>
              <w:rPr>
                <w:rFonts w:ascii="Calibri" w:hAnsi="Calibri" w:cs="Calibri"/>
                <w:color w:val="000000"/>
              </w:rPr>
              <w:t>515.76</w:t>
            </w:r>
          </w:p>
        </w:tc>
      </w:tr>
    </w:tbl>
    <w:p w:rsidR="00620BEC" w:rsidRDefault="00620BEC" w:rsidP="00355648">
      <w:pPr>
        <w:pStyle w:val="NoSpacing"/>
      </w:pPr>
    </w:p>
    <w:p w:rsidR="0095456E" w:rsidRDefault="0095456E" w:rsidP="00355648">
      <w:pPr>
        <w:pStyle w:val="NoSpacing"/>
      </w:pPr>
    </w:p>
    <w:p w:rsidR="0095456E" w:rsidRDefault="0095456E" w:rsidP="00355648">
      <w:pPr>
        <w:pStyle w:val="NoSpacing"/>
      </w:pPr>
    </w:p>
    <w:p w:rsidR="0095456E" w:rsidRDefault="0095456E" w:rsidP="00355648">
      <w:pPr>
        <w:pStyle w:val="NoSpacing"/>
      </w:pPr>
    </w:p>
    <w:p w:rsidR="0095456E" w:rsidRDefault="0095456E" w:rsidP="00355648">
      <w:pPr>
        <w:pStyle w:val="NoSpacing"/>
      </w:pPr>
    </w:p>
    <w:p w:rsidR="0095456E" w:rsidRDefault="0095456E" w:rsidP="00355648">
      <w:pPr>
        <w:pStyle w:val="NoSpacing"/>
      </w:pPr>
    </w:p>
    <w:p w:rsidR="0095456E" w:rsidRDefault="0095456E" w:rsidP="00355648">
      <w:pPr>
        <w:pStyle w:val="NoSpacing"/>
      </w:pPr>
    </w:p>
    <w:p w:rsidR="0095456E" w:rsidRDefault="0095456E" w:rsidP="00355648">
      <w:pPr>
        <w:pStyle w:val="NoSpacing"/>
      </w:pPr>
    </w:p>
    <w:p w:rsidR="00486F3D" w:rsidRDefault="00486F3D" w:rsidP="00355648">
      <w:pPr>
        <w:pStyle w:val="NoSpacing"/>
      </w:pPr>
    </w:p>
    <w:p w:rsidR="00486F3D" w:rsidRDefault="00486F3D" w:rsidP="00355648">
      <w:pPr>
        <w:pStyle w:val="NoSpacing"/>
      </w:pPr>
    </w:p>
    <w:p w:rsidR="00486F3D" w:rsidRDefault="00486F3D" w:rsidP="00355648">
      <w:pPr>
        <w:pStyle w:val="NoSpacing"/>
      </w:pPr>
      <w:r>
        <w:lastRenderedPageBreak/>
        <w:t>Figure 1. Average Stem Diameter.</w:t>
      </w:r>
    </w:p>
    <w:p w:rsidR="008422C8" w:rsidRDefault="008422C8" w:rsidP="00355648">
      <w:pPr>
        <w:pStyle w:val="NoSpacing"/>
      </w:pPr>
      <w:r>
        <w:rPr>
          <w:noProof/>
        </w:rPr>
        <w:drawing>
          <wp:inline distT="0" distB="0" distL="0" distR="0">
            <wp:extent cx="5943600" cy="3711575"/>
            <wp:effectExtent l="19050" t="19050" r="1905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 diameter by farm_location.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711575"/>
                    </a:xfrm>
                    <a:prstGeom prst="rect">
                      <a:avLst/>
                    </a:prstGeom>
                    <a:ln>
                      <a:solidFill>
                        <a:schemeClr val="tx1"/>
                      </a:solidFill>
                    </a:ln>
                  </pic:spPr>
                </pic:pic>
              </a:graphicData>
            </a:graphic>
          </wp:inline>
        </w:drawing>
      </w:r>
    </w:p>
    <w:p w:rsidR="008422C8" w:rsidRPr="0068032A" w:rsidRDefault="008422C8" w:rsidP="00355648">
      <w:pPr>
        <w:pStyle w:val="NoSpacing"/>
      </w:pPr>
      <w:r>
        <w:t>*Data courtesy of Dr. Alan Leslie, Ag Agent in Charles County.</w:t>
      </w:r>
    </w:p>
    <w:sectPr w:rsidR="008422C8" w:rsidRPr="00680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DF"/>
    <w:rsid w:val="000045A9"/>
    <w:rsid w:val="00143D54"/>
    <w:rsid w:val="00172305"/>
    <w:rsid w:val="00247130"/>
    <w:rsid w:val="002918A8"/>
    <w:rsid w:val="002C5283"/>
    <w:rsid w:val="00304DBD"/>
    <w:rsid w:val="00355648"/>
    <w:rsid w:val="003C57C8"/>
    <w:rsid w:val="00444124"/>
    <w:rsid w:val="00461A2C"/>
    <w:rsid w:val="00486F3D"/>
    <w:rsid w:val="00514E9F"/>
    <w:rsid w:val="005670E6"/>
    <w:rsid w:val="00620BEC"/>
    <w:rsid w:val="0068032A"/>
    <w:rsid w:val="0068699E"/>
    <w:rsid w:val="0069686A"/>
    <w:rsid w:val="006C0657"/>
    <w:rsid w:val="00734C6C"/>
    <w:rsid w:val="007627BB"/>
    <w:rsid w:val="007A0AE0"/>
    <w:rsid w:val="00817223"/>
    <w:rsid w:val="008278A3"/>
    <w:rsid w:val="008422C8"/>
    <w:rsid w:val="008952D2"/>
    <w:rsid w:val="009066BB"/>
    <w:rsid w:val="0095456E"/>
    <w:rsid w:val="009856B8"/>
    <w:rsid w:val="00A1342C"/>
    <w:rsid w:val="00A16776"/>
    <w:rsid w:val="00BF5F36"/>
    <w:rsid w:val="00C210DF"/>
    <w:rsid w:val="00C649C8"/>
    <w:rsid w:val="00D10CD2"/>
    <w:rsid w:val="00E05EE6"/>
    <w:rsid w:val="00E10FF6"/>
    <w:rsid w:val="00E81689"/>
    <w:rsid w:val="00ED0883"/>
    <w:rsid w:val="00FF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739E"/>
  <w15:chartTrackingRefBased/>
  <w15:docId w15:val="{8EBBBFE2-F823-4828-8D27-D0E499BD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0DF"/>
    <w:pPr>
      <w:spacing w:after="0" w:line="240" w:lineRule="auto"/>
    </w:pPr>
  </w:style>
  <w:style w:type="table" w:styleId="TableGrid">
    <w:name w:val="Table Grid"/>
    <w:basedOn w:val="TableNormal"/>
    <w:uiPriority w:val="39"/>
    <w:rsid w:val="0035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6BB"/>
    <w:rPr>
      <w:color w:val="0563C1" w:themeColor="hyperlink"/>
      <w:u w:val="single"/>
    </w:rPr>
  </w:style>
  <w:style w:type="paragraph" w:styleId="BalloonText">
    <w:name w:val="Balloon Text"/>
    <w:basedOn w:val="Normal"/>
    <w:link w:val="BalloonTextChar"/>
    <w:uiPriority w:val="99"/>
    <w:semiHidden/>
    <w:unhideWhenUsed/>
    <w:rsid w:val="006C0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3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AGNR</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 Nichols</dc:creator>
  <cp:keywords/>
  <dc:description/>
  <cp:lastModifiedBy>Kelly M. Nichols</cp:lastModifiedBy>
  <cp:revision>11</cp:revision>
  <cp:lastPrinted>2020-02-13T20:14:00Z</cp:lastPrinted>
  <dcterms:created xsi:type="dcterms:W3CDTF">2020-02-13T18:15:00Z</dcterms:created>
  <dcterms:modified xsi:type="dcterms:W3CDTF">2020-03-11T19:53:00Z</dcterms:modified>
</cp:coreProperties>
</file>