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E1255" w14:textId="27762DC1" w:rsidR="003C1BA2" w:rsidRDefault="003C1BA2" w:rsidP="003C1BA2">
      <w:pPr>
        <w:jc w:val="center"/>
        <w:rPr>
          <w:b/>
        </w:rPr>
      </w:pPr>
      <w:bookmarkStart w:id="0" w:name="_Hlk44251308"/>
      <w:bookmarkEnd w:id="0"/>
      <w:r w:rsidRPr="003C1BA2">
        <w:rPr>
          <w:b/>
        </w:rPr>
        <w:t>Molecular Characterization and Identification of the New Root-lesion Nematode Species on Soybean in North Dakota</w:t>
      </w:r>
    </w:p>
    <w:p w14:paraId="7BC617FB" w14:textId="77777777" w:rsidR="003C1BA2" w:rsidRPr="003C1BA2" w:rsidRDefault="003C1BA2" w:rsidP="003C1BA2">
      <w:pPr>
        <w:jc w:val="center"/>
        <w:rPr>
          <w:b/>
        </w:rPr>
      </w:pPr>
    </w:p>
    <w:p w14:paraId="07C37460" w14:textId="77777777" w:rsidR="003C1BA2" w:rsidRPr="003C1BA2" w:rsidRDefault="003C1BA2" w:rsidP="003C1BA2">
      <w:pPr>
        <w:widowControl/>
        <w:autoSpaceDE/>
        <w:autoSpaceDN/>
        <w:adjustRightInd/>
        <w:ind w:firstLine="360"/>
        <w:jc w:val="center"/>
        <w:rPr>
          <w:rFonts w:eastAsiaTheme="minorHAnsi"/>
        </w:rPr>
      </w:pPr>
      <w:r w:rsidRPr="003C1BA2">
        <w:rPr>
          <w:rFonts w:eastAsiaTheme="minorHAnsi"/>
        </w:rPr>
        <w:t>TECHNICAL REPORT</w:t>
      </w:r>
    </w:p>
    <w:p w14:paraId="70542FB5" w14:textId="77777777" w:rsidR="003C1BA2" w:rsidRPr="003C1BA2" w:rsidRDefault="003C1BA2" w:rsidP="003C1BA2">
      <w:pPr>
        <w:widowControl/>
        <w:autoSpaceDE/>
        <w:autoSpaceDN/>
        <w:adjustRightInd/>
        <w:jc w:val="center"/>
        <w:rPr>
          <w:rFonts w:eastAsiaTheme="minorHAnsi"/>
        </w:rPr>
      </w:pPr>
      <w:r w:rsidRPr="003C1BA2">
        <w:rPr>
          <w:rFonts w:eastAsiaTheme="minorHAnsi"/>
        </w:rPr>
        <w:t>NORTH DAKOTA SOYBEAN COUNCIL</w:t>
      </w:r>
    </w:p>
    <w:p w14:paraId="68B732BB" w14:textId="0D91EA2A" w:rsidR="003C1BA2" w:rsidRPr="003C1BA2" w:rsidRDefault="00680D6D" w:rsidP="003C1BA2">
      <w:pPr>
        <w:widowControl/>
        <w:autoSpaceDE/>
        <w:autoSpaceDN/>
        <w:adjustRightInd/>
        <w:jc w:val="center"/>
        <w:rPr>
          <w:rFonts w:eastAsiaTheme="minorHAnsi"/>
        </w:rPr>
      </w:pPr>
      <w:r w:rsidRPr="003C1BA2">
        <w:rPr>
          <w:rFonts w:eastAsiaTheme="minorHAnsi"/>
        </w:rPr>
        <w:t>JUNE</w:t>
      </w:r>
      <w:r w:rsidR="003C1BA2" w:rsidRPr="003C1BA2">
        <w:rPr>
          <w:rFonts w:eastAsiaTheme="minorHAnsi"/>
        </w:rPr>
        <w:t>, 20</w:t>
      </w:r>
      <w:r w:rsidR="003C1BA2">
        <w:rPr>
          <w:rFonts w:eastAsiaTheme="minorHAnsi"/>
        </w:rPr>
        <w:t>20</w:t>
      </w:r>
    </w:p>
    <w:p w14:paraId="57221310" w14:textId="77777777" w:rsidR="003C1BA2" w:rsidRPr="003C1BA2" w:rsidRDefault="003C1BA2" w:rsidP="003C1BA2"/>
    <w:p w14:paraId="51423290" w14:textId="77777777" w:rsidR="003C1BA2" w:rsidRPr="00797671" w:rsidRDefault="003C1BA2" w:rsidP="003C1BA2">
      <w:r w:rsidRPr="00797671">
        <w:t xml:space="preserve">Principal Investigator: </w:t>
      </w:r>
    </w:p>
    <w:p w14:paraId="739AB1C6" w14:textId="77777777" w:rsidR="003C1BA2" w:rsidRPr="00797671" w:rsidRDefault="003C1BA2" w:rsidP="003C1BA2">
      <w:pPr>
        <w:rPr>
          <w:noProof/>
        </w:rPr>
      </w:pPr>
      <w:r w:rsidRPr="00797671">
        <w:t>Dr.</w:t>
      </w:r>
      <w:r w:rsidRPr="00797671">
        <w:rPr>
          <w:b/>
        </w:rPr>
        <w:t xml:space="preserve"> </w:t>
      </w:r>
      <w:r w:rsidRPr="00797671">
        <w:rPr>
          <w:noProof/>
        </w:rPr>
        <w:t>Guiping Yan</w:t>
      </w:r>
      <w:r w:rsidRPr="00797671">
        <w:rPr>
          <w:b/>
        </w:rPr>
        <w:t xml:space="preserve">, </w:t>
      </w:r>
      <w:r w:rsidRPr="00797671">
        <w:rPr>
          <w:noProof/>
        </w:rPr>
        <w:t xml:space="preserve">Dept. Plant Pathology, NDSU </w:t>
      </w:r>
    </w:p>
    <w:p w14:paraId="55022E47" w14:textId="14C638B1" w:rsidR="00E15E0D" w:rsidRPr="00797671" w:rsidRDefault="00E15E0D"/>
    <w:p w14:paraId="1379A749" w14:textId="66D055DC" w:rsidR="003C1BA2" w:rsidRPr="00797671" w:rsidRDefault="003C1BA2">
      <w:r w:rsidRPr="00797671">
        <w:t xml:space="preserve">Plant-parasitic nematodes are a group of pests that are becoming increasingly </w:t>
      </w:r>
      <w:r w:rsidR="00BF1E16" w:rsidRPr="00797671">
        <w:t>important as a crop production limiting factor</w:t>
      </w:r>
      <w:r w:rsidR="008C2B90" w:rsidRPr="00797671">
        <w:t xml:space="preserve"> for growers world-wide</w:t>
      </w:r>
      <w:r w:rsidR="00BF1E16" w:rsidRPr="00797671">
        <w:t xml:space="preserve">. Among these pests, soybean cyst nematode (SCN), root-lesion nematode, lance nematode and root knot nematode </w:t>
      </w:r>
      <w:r w:rsidR="0014249A" w:rsidRPr="00797671">
        <w:t xml:space="preserve">are considered highly aggressive to soybeans and </w:t>
      </w:r>
      <w:r w:rsidR="00BF1E16" w:rsidRPr="00797671">
        <w:t>can be devastating to soybean production if left unchecked.</w:t>
      </w:r>
      <w:r w:rsidR="0014249A" w:rsidRPr="00797671">
        <w:t xml:space="preserve"> Root-lesion nematodes are</w:t>
      </w:r>
      <w:r w:rsidR="008C2B90" w:rsidRPr="00797671">
        <w:t xml:space="preserve"> vermiform (motile),</w:t>
      </w:r>
      <w:r w:rsidR="0014249A" w:rsidRPr="00797671">
        <w:t xml:space="preserve"> </w:t>
      </w:r>
      <w:r w:rsidR="008C2B90" w:rsidRPr="00797671">
        <w:t>endo-parasitic organisms that are widely distributed throughout the world and have a wide host range. In North Dakota, during 2015 and 2016</w:t>
      </w:r>
      <w:r w:rsidR="008613BF" w:rsidRPr="00797671">
        <w:t>,</w:t>
      </w:r>
      <w:r w:rsidR="008C2B90" w:rsidRPr="00797671">
        <w:t xml:space="preserve"> a soil survey of soybean fields was conducted to determine the prevalence and distribution of plant</w:t>
      </w:r>
      <w:r w:rsidR="000F4AB7" w:rsidRPr="00797671">
        <w:t>-</w:t>
      </w:r>
      <w:r w:rsidR="008C2B90" w:rsidRPr="00797671">
        <w:t>parasitic nematode in the fields. During this survey six soil samples were collected from a soybean field in Richland County. After extracting nematodes from these samples, it was evident that root-lesion nematodes were present in all of the samples with population densit</w:t>
      </w:r>
      <w:r w:rsidR="000F4AB7" w:rsidRPr="00797671">
        <w:t>ies</w:t>
      </w:r>
      <w:r w:rsidR="008C2B90" w:rsidRPr="00797671">
        <w:t xml:space="preserve"> ranging from 125 to 2</w:t>
      </w:r>
      <w:r w:rsidR="000F4AB7" w:rsidRPr="00797671">
        <w:t>,</w:t>
      </w:r>
      <w:r w:rsidR="008C2B90" w:rsidRPr="00797671">
        <w:t>000 nematodes per kg of soil. Morphological measurement of adult male</w:t>
      </w:r>
      <w:r w:rsidR="000F4AB7" w:rsidRPr="00797671">
        <w:t>s</w:t>
      </w:r>
      <w:r w:rsidR="008C2B90" w:rsidRPr="00797671">
        <w:t xml:space="preserve"> and female</w:t>
      </w:r>
      <w:r w:rsidR="000F4AB7" w:rsidRPr="00797671">
        <w:t>s</w:t>
      </w:r>
      <w:r w:rsidR="008C2B90" w:rsidRPr="00797671">
        <w:t xml:space="preserve"> as well as DNA sequencing of two genomic regions revealed that this nematode differs from other known species of root</w:t>
      </w:r>
      <w:r w:rsidR="000F4AB7" w:rsidRPr="00797671">
        <w:t>-</w:t>
      </w:r>
      <w:r w:rsidR="008C2B90" w:rsidRPr="00797671">
        <w:t>lesion nematodes in both morphology and DNA sequences</w:t>
      </w:r>
      <w:r w:rsidR="000F4AB7" w:rsidRPr="00797671">
        <w:t>, a</w:t>
      </w:r>
      <w:r w:rsidR="008C2B90" w:rsidRPr="00797671">
        <w:t>llowing us to conclude that this is a new species of root-lesion nematode</w:t>
      </w:r>
      <w:r w:rsidR="000F4AB7" w:rsidRPr="00797671">
        <w:t>. T</w:t>
      </w:r>
      <w:r w:rsidR="008C2B90" w:rsidRPr="00797671">
        <w:t>his new</w:t>
      </w:r>
      <w:r w:rsidR="00CE245A" w:rsidRPr="00797671">
        <w:t xml:space="preserve"> North Dakota</w:t>
      </w:r>
      <w:r w:rsidR="008C2B90" w:rsidRPr="00797671">
        <w:t xml:space="preserve"> </w:t>
      </w:r>
      <w:r w:rsidR="00D854CF" w:rsidRPr="00797671">
        <w:t>species</w:t>
      </w:r>
      <w:r w:rsidR="008C2B90" w:rsidRPr="00797671">
        <w:t xml:space="preserve"> </w:t>
      </w:r>
      <w:r w:rsidR="00CE245A" w:rsidRPr="00797671">
        <w:t xml:space="preserve">has never been reported in </w:t>
      </w:r>
      <w:r w:rsidR="000F4AB7" w:rsidRPr="00797671">
        <w:t xml:space="preserve">any </w:t>
      </w:r>
      <w:r w:rsidR="00CE245A" w:rsidRPr="00797671">
        <w:t>literature prior to 2017. Thus, an efficient and sensitive detection system is necessary to identify this nematode</w:t>
      </w:r>
      <w:r w:rsidR="000F4AB7" w:rsidRPr="00797671">
        <w:t xml:space="preserve"> species</w:t>
      </w:r>
      <w:r w:rsidR="00CE245A" w:rsidRPr="00797671">
        <w:t>; however, d</w:t>
      </w:r>
      <w:r w:rsidR="008C2B90" w:rsidRPr="00797671">
        <w:t>istinction between root-lesion nematode species is difficult and time consuming based on morphology using traditional microscopic methods. Molecular technolog</w:t>
      </w:r>
      <w:r w:rsidR="00FC6428" w:rsidRPr="00797671">
        <w:t>y</w:t>
      </w:r>
      <w:r w:rsidR="008C2B90" w:rsidRPr="00797671">
        <w:t xml:space="preserve"> provide</w:t>
      </w:r>
      <w:r w:rsidR="00FC6428" w:rsidRPr="00797671">
        <w:t>s</w:t>
      </w:r>
      <w:r w:rsidR="008C2B90" w:rsidRPr="00797671">
        <w:t xml:space="preserve"> a powerful platform for rapid and sensitive detection of root-lesion nematodes at species level. Therefore, the objective of this research was to develop a new real-time PCR assay for </w:t>
      </w:r>
      <w:r w:rsidR="00281215" w:rsidRPr="00797671">
        <w:t>specific</w:t>
      </w:r>
      <w:r w:rsidR="008C2B90" w:rsidRPr="00797671">
        <w:t xml:space="preserve"> detection and identification of the new root-lesion nematode species found in North Dakota, characterize this species and determine its evolutionary relationship with </w:t>
      </w:r>
      <w:r w:rsidR="00281215" w:rsidRPr="00797671">
        <w:t>other</w:t>
      </w:r>
      <w:r w:rsidR="00905A2E" w:rsidRPr="00797671">
        <w:t xml:space="preserve"> species of root-lesion nematode</w:t>
      </w:r>
      <w:r w:rsidR="00281215" w:rsidRPr="00797671">
        <w:t>s</w:t>
      </w:r>
      <w:r w:rsidR="00905A2E" w:rsidRPr="00797671">
        <w:t>.</w:t>
      </w:r>
    </w:p>
    <w:p w14:paraId="3E85A73E" w14:textId="286DC7CC" w:rsidR="00905A2E" w:rsidRPr="00797671" w:rsidRDefault="00905A2E"/>
    <w:p w14:paraId="2076BC88" w14:textId="7781B85E" w:rsidR="006C2419" w:rsidRPr="00797671" w:rsidRDefault="00905A2E" w:rsidP="00905A2E">
      <w:r w:rsidRPr="00797671">
        <w:t xml:space="preserve">To achieve these objectives soil samples were collected from the field where the new root-lesion nematode species was first detected. Nematodes were then extracted from these soil samples using sieving, decanting and sucrose centrifugation methods. Root-lesion nematodes were collected from the soil extracts based on their morphological features. DNA was extracted from these root-lesion nematodes using the Proteinase K method, which involves chopping the nematodes in a 10 µl nematode suspension of double distilled </w:t>
      </w:r>
      <w:r w:rsidR="0022184B" w:rsidRPr="00797671">
        <w:t xml:space="preserve">water </w:t>
      </w:r>
      <w:r w:rsidRPr="00797671">
        <w:t>(ddH</w:t>
      </w:r>
      <w:r w:rsidRPr="00797671">
        <w:rPr>
          <w:vertAlign w:val="subscript"/>
        </w:rPr>
        <w:t>2</w:t>
      </w:r>
      <w:r w:rsidRPr="00797671">
        <w:t>O</w:t>
      </w:r>
      <w:r w:rsidR="0022184B" w:rsidRPr="00797671">
        <w:t>)</w:t>
      </w:r>
      <w:r w:rsidRPr="00797671">
        <w:t xml:space="preserve"> then adding it to a centrifuge tube containing 2 µl of 10</w:t>
      </w:r>
      <w:r w:rsidR="0022184B" w:rsidRPr="00797671">
        <w:t xml:space="preserve">x </w:t>
      </w:r>
      <w:r w:rsidRPr="00797671">
        <w:t>PCR buffer, 2 µl Proteinase K (600 µg/ml), and 6 µl of ddH</w:t>
      </w:r>
      <w:r w:rsidRPr="00797671">
        <w:rPr>
          <w:vertAlign w:val="subscript"/>
        </w:rPr>
        <w:t>2</w:t>
      </w:r>
      <w:r w:rsidRPr="00797671">
        <w:t xml:space="preserve">O. The tubes were then stored at -20°C for 30 minutes and then incubated at 65°C for 1 hour followed by 95°C for 10 minutes. </w:t>
      </w:r>
    </w:p>
    <w:p w14:paraId="4B4FD755" w14:textId="77777777" w:rsidR="006C2419" w:rsidRPr="00797671" w:rsidRDefault="006C2419" w:rsidP="00905A2E"/>
    <w:p w14:paraId="15DFF7BF" w14:textId="449C2A5C" w:rsidR="006C2419" w:rsidRPr="00797671" w:rsidRDefault="00905A2E" w:rsidP="00905A2E">
      <w:r w:rsidRPr="00797671">
        <w:t>The DNA samples</w:t>
      </w:r>
      <w:r w:rsidR="005570EF" w:rsidRPr="00797671">
        <w:t xml:space="preserve"> from the new root-lesion nematode </w:t>
      </w:r>
      <w:r w:rsidRPr="00797671">
        <w:t>were then</w:t>
      </w:r>
      <w:r w:rsidR="005C5B78" w:rsidRPr="00797671">
        <w:t xml:space="preserve"> prepared for sequencing by</w:t>
      </w:r>
      <w:r w:rsidRPr="00797671">
        <w:t xml:space="preserve"> </w:t>
      </w:r>
      <w:r w:rsidR="00E325FA" w:rsidRPr="00797671">
        <w:t>amplif</w:t>
      </w:r>
      <w:r w:rsidR="005C5B78" w:rsidRPr="00797671">
        <w:t>ying the ITS (internal transcribed spacer) region of the ribosomal DNA using</w:t>
      </w:r>
      <w:r w:rsidR="006C2419" w:rsidRPr="00797671">
        <w:t xml:space="preserve"> the</w:t>
      </w:r>
      <w:r w:rsidR="005C5B78" w:rsidRPr="00797671">
        <w:t xml:space="preserve"> universal</w:t>
      </w:r>
      <w:r w:rsidR="00E325FA" w:rsidRPr="00797671">
        <w:t xml:space="preserve"> primer set rDNA-2v</w:t>
      </w:r>
      <w:r w:rsidR="00065C79" w:rsidRPr="00797671">
        <w:t xml:space="preserve"> </w:t>
      </w:r>
      <w:r w:rsidR="00E325FA" w:rsidRPr="00797671">
        <w:t>/rDNA1</w:t>
      </w:r>
      <w:r w:rsidR="003A1B7E" w:rsidRPr="00797671">
        <w:t xml:space="preserve"> </w:t>
      </w:r>
      <w:r w:rsidR="006C2419" w:rsidRPr="00797671">
        <w:t>via conventional PCR. The samples</w:t>
      </w:r>
      <w:r w:rsidRPr="00797671">
        <w:t xml:space="preserve"> were then purified and sent for </w:t>
      </w:r>
      <w:r w:rsidRPr="00797671">
        <w:lastRenderedPageBreak/>
        <w:t xml:space="preserve">DNA sequencing by </w:t>
      </w:r>
      <w:proofErr w:type="spellStart"/>
      <w:r w:rsidRPr="00797671">
        <w:t>GenScript</w:t>
      </w:r>
      <w:proofErr w:type="spellEnd"/>
      <w:r w:rsidRPr="00797671">
        <w:t xml:space="preserve"> (</w:t>
      </w:r>
      <w:proofErr w:type="spellStart"/>
      <w:r w:rsidRPr="00797671">
        <w:t>GenScript</w:t>
      </w:r>
      <w:proofErr w:type="spellEnd"/>
      <w:r w:rsidRPr="00797671">
        <w:t xml:space="preserve">, Piscataway, NJ). The DNA sequence data were edited with </w:t>
      </w:r>
      <w:proofErr w:type="spellStart"/>
      <w:r w:rsidRPr="00797671">
        <w:t>EditSeq</w:t>
      </w:r>
      <w:proofErr w:type="spellEnd"/>
      <w:r w:rsidRPr="00797671">
        <w:t xml:space="preserve"> module of DNASTAR software package to remove vector sequences and messy regions. </w:t>
      </w:r>
      <w:proofErr w:type="spellStart"/>
      <w:r w:rsidRPr="00797671">
        <w:t>Clustal</w:t>
      </w:r>
      <w:proofErr w:type="spellEnd"/>
      <w:r w:rsidRPr="00797671">
        <w:t xml:space="preserve"> X software was then used to determine consensus sequence by aligning edited nucleotide sequence</w:t>
      </w:r>
      <w:r w:rsidR="003A1B7E" w:rsidRPr="00797671">
        <w:t>s</w:t>
      </w:r>
      <w:r w:rsidRPr="00797671">
        <w:t xml:space="preserve"> from three individuals of the population. </w:t>
      </w:r>
    </w:p>
    <w:p w14:paraId="69C1B244" w14:textId="77777777" w:rsidR="006C2419" w:rsidRPr="00797671" w:rsidRDefault="006C2419" w:rsidP="00905A2E"/>
    <w:p w14:paraId="2BBF3EF0" w14:textId="12FB0841" w:rsidR="00905A2E" w:rsidRPr="00797671" w:rsidRDefault="00905A2E" w:rsidP="00905A2E">
      <w:r w:rsidRPr="00797671">
        <w:t>The ITS sequence</w:t>
      </w:r>
      <w:r w:rsidR="003A1B7E" w:rsidRPr="00797671">
        <w:t>s</w:t>
      </w:r>
      <w:r w:rsidRPr="00797671">
        <w:t xml:space="preserve"> of 20 other root-lesion nematodes were </w:t>
      </w:r>
      <w:r w:rsidR="00065C79" w:rsidRPr="00797671">
        <w:t xml:space="preserve">also </w:t>
      </w:r>
      <w:r w:rsidRPr="00797671">
        <w:t xml:space="preserve">retrieved from GenBank </w:t>
      </w:r>
      <w:r w:rsidR="00065C79" w:rsidRPr="00797671">
        <w:t>to compare and</w:t>
      </w:r>
      <w:r w:rsidRPr="00797671">
        <w:t xml:space="preserve"> identify </w:t>
      </w:r>
      <w:r w:rsidR="00065C79" w:rsidRPr="00797671">
        <w:t xml:space="preserve">the </w:t>
      </w:r>
      <w:r w:rsidRPr="00797671">
        <w:t xml:space="preserve">unique regions </w:t>
      </w:r>
      <w:r w:rsidR="00065C79" w:rsidRPr="00797671">
        <w:t>in the ITS sequence of the new root-lesion nematode species</w:t>
      </w:r>
      <w:r w:rsidR="00EC389A" w:rsidRPr="00797671">
        <w:t>. The DNA sequences were then aligned</w:t>
      </w:r>
      <w:r w:rsidRPr="00797671">
        <w:t xml:space="preserve"> </w:t>
      </w:r>
      <w:r w:rsidR="00524133" w:rsidRPr="00797671">
        <w:t>and a</w:t>
      </w:r>
      <w:r w:rsidRPr="00797671">
        <w:t xml:space="preserve"> primer</w:t>
      </w:r>
      <w:r w:rsidR="00524133" w:rsidRPr="00797671">
        <w:t xml:space="preserve"> set,</w:t>
      </w:r>
      <w:r w:rsidRPr="00797671">
        <w:t xml:space="preserve"> </w:t>
      </w:r>
      <w:r w:rsidR="00524133" w:rsidRPr="00797671">
        <w:t>ITS1F (forward, 5’-TGTGTGCGAATGTTCCTG-3’) and ITS1R (reverse, 5’- CGTATGTTTTATATGGGGACTC-3’),</w:t>
      </w:r>
      <w:r w:rsidRPr="00797671">
        <w:t xml:space="preserve"> specific to the region of ITS rDNA of the target root-lesion nematode was then designed. The specificity of </w:t>
      </w:r>
      <w:r w:rsidR="00524133" w:rsidRPr="00797671">
        <w:t>the</w:t>
      </w:r>
      <w:r w:rsidRPr="00797671">
        <w:t xml:space="preserve"> primer </w:t>
      </w:r>
      <w:r w:rsidR="00524133" w:rsidRPr="00797671">
        <w:t>set</w:t>
      </w:r>
      <w:r w:rsidRPr="00797671">
        <w:t xml:space="preserve"> w</w:t>
      </w:r>
      <w:r w:rsidR="00524133" w:rsidRPr="00797671">
        <w:t>as</w:t>
      </w:r>
      <w:r w:rsidRPr="00797671">
        <w:t xml:space="preserve"> </w:t>
      </w:r>
      <w:r w:rsidR="001233B2" w:rsidRPr="00797671">
        <w:t>examined</w:t>
      </w:r>
      <w:r w:rsidRPr="00797671">
        <w:t xml:space="preserve"> in</w:t>
      </w:r>
      <w:r w:rsidR="00524133" w:rsidRPr="00797671">
        <w:t>-s</w:t>
      </w:r>
      <w:r w:rsidRPr="00797671">
        <w:t>ilico using the Blast-search function of the NCBI GenBank. Results of th</w:t>
      </w:r>
      <w:r w:rsidR="006514E2" w:rsidRPr="00797671">
        <w:t>e</w:t>
      </w:r>
      <w:r w:rsidRPr="00797671">
        <w:t xml:space="preserve"> in</w:t>
      </w:r>
      <w:r w:rsidR="00524133" w:rsidRPr="00797671">
        <w:t>-</w:t>
      </w:r>
      <w:r w:rsidRPr="00797671">
        <w:t xml:space="preserve">silico analysis revealed no perfect match with other plant-parasitic nematode sequences in GenBank. The primers were then synthesized by </w:t>
      </w:r>
      <w:proofErr w:type="spellStart"/>
      <w:r w:rsidRPr="00797671">
        <w:t>Eurofin</w:t>
      </w:r>
      <w:proofErr w:type="spellEnd"/>
      <w:r w:rsidRPr="00797671">
        <w:t xml:space="preserve"> MWG operon LLC (</w:t>
      </w:r>
      <w:proofErr w:type="spellStart"/>
      <w:r w:rsidRPr="00797671">
        <w:t>Huntzville</w:t>
      </w:r>
      <w:proofErr w:type="spellEnd"/>
      <w:r w:rsidRPr="00797671">
        <w:t xml:space="preserve">, AL). </w:t>
      </w:r>
    </w:p>
    <w:p w14:paraId="7B6F58F5" w14:textId="77777777" w:rsidR="001233B2" w:rsidRPr="00797671" w:rsidRDefault="001233B2" w:rsidP="001233B2"/>
    <w:p w14:paraId="62DE4BEF" w14:textId="6C6C9ED8" w:rsidR="00905A2E" w:rsidRPr="00797671" w:rsidRDefault="00905A2E" w:rsidP="001233B2">
      <w:r w:rsidRPr="00797671">
        <w:t xml:space="preserve">The PCR amplification performance of </w:t>
      </w:r>
      <w:r w:rsidR="00524133" w:rsidRPr="00797671">
        <w:t xml:space="preserve">the </w:t>
      </w:r>
      <w:r w:rsidRPr="00797671">
        <w:t>primer set at different annealing temperature</w:t>
      </w:r>
      <w:r w:rsidR="006514E2" w:rsidRPr="00797671">
        <w:t>s</w:t>
      </w:r>
      <w:r w:rsidRPr="00797671">
        <w:t xml:space="preserve"> (</w:t>
      </w:r>
      <w:r w:rsidR="00524133" w:rsidRPr="00797671">
        <w:t xml:space="preserve">55, </w:t>
      </w:r>
      <w:r w:rsidRPr="00797671">
        <w:t xml:space="preserve">56, </w:t>
      </w:r>
      <w:r w:rsidR="00524133" w:rsidRPr="00797671">
        <w:t xml:space="preserve">57, </w:t>
      </w:r>
      <w:r w:rsidRPr="00797671">
        <w:t>58</w:t>
      </w:r>
      <w:r w:rsidR="00524133" w:rsidRPr="00797671">
        <w:t>, 59</w:t>
      </w:r>
      <w:r w:rsidRPr="00797671">
        <w:t xml:space="preserve"> and 60°C) was evaluated. Although </w:t>
      </w:r>
      <w:r w:rsidR="006514E2" w:rsidRPr="00797671">
        <w:t xml:space="preserve">the </w:t>
      </w:r>
      <w:r w:rsidR="001233B2" w:rsidRPr="00797671">
        <w:t>ITS1F/ITS1R</w:t>
      </w:r>
      <w:r w:rsidRPr="00797671">
        <w:t xml:space="preserve"> primer set w</w:t>
      </w:r>
      <w:r w:rsidR="001233B2" w:rsidRPr="00797671">
        <w:t xml:space="preserve">as </w:t>
      </w:r>
      <w:r w:rsidRPr="00797671">
        <w:t>specifically able to amplify the target root-lesion nematode DNA</w:t>
      </w:r>
      <w:r w:rsidR="001233B2" w:rsidRPr="00797671">
        <w:t xml:space="preserve"> at different annealing temperatures</w:t>
      </w:r>
      <w:r w:rsidR="006514E2" w:rsidRPr="00797671">
        <w:t xml:space="preserve"> tested</w:t>
      </w:r>
      <w:r w:rsidRPr="00797671">
        <w:t xml:space="preserve">, the </w:t>
      </w:r>
      <w:r w:rsidR="001233B2" w:rsidRPr="00797671">
        <w:t>best</w:t>
      </w:r>
      <w:r w:rsidRPr="00797671">
        <w:t xml:space="preserve"> </w:t>
      </w:r>
      <w:r w:rsidR="006514E2" w:rsidRPr="00797671">
        <w:t xml:space="preserve">amplification occurred </w:t>
      </w:r>
      <w:r w:rsidRPr="00797671">
        <w:t>at 58°C</w:t>
      </w:r>
      <w:r w:rsidR="001233B2" w:rsidRPr="00797671">
        <w:t xml:space="preserve">. </w:t>
      </w:r>
      <w:r w:rsidRPr="00797671">
        <w:t xml:space="preserve">The optimal amplification condition for conventional PCR was then established as initial denaturation for 3 min at 94°C followed by 35 cycles of denaturing at 94°C for 45s, annealing for 60s at 58°C, extension for 60s at 72°C and a final extension for 10 min at 72°C. The optimal amplification condition for real-time PCR was established as incubation for 4 min at 95°C and 35 cycles of 95°C for 10s and 58°C for 30s.  </w:t>
      </w:r>
    </w:p>
    <w:p w14:paraId="3B46C163" w14:textId="77777777" w:rsidR="00BA4687" w:rsidRPr="00797671" w:rsidRDefault="00BA4687" w:rsidP="00BA4687"/>
    <w:p w14:paraId="05140C5C" w14:textId="36DAB95E" w:rsidR="00905A2E" w:rsidRPr="00797671" w:rsidRDefault="00905A2E" w:rsidP="00BA4687">
      <w:r w:rsidRPr="00797671">
        <w:t xml:space="preserve">The specificity of this primer set was then tested using conventional PCR </w:t>
      </w:r>
      <w:r w:rsidR="0061139C" w:rsidRPr="00797671">
        <w:t>and</w:t>
      </w:r>
      <w:r w:rsidRPr="00797671">
        <w:t xml:space="preserve"> real-time quantitative PCR. DNA from multiple isolates of the target species as well as multiple isolates of </w:t>
      </w:r>
      <w:r w:rsidR="00BA4687" w:rsidRPr="00797671">
        <w:t>five</w:t>
      </w:r>
      <w:r w:rsidRPr="00797671">
        <w:t xml:space="preserve"> other confirmed species of root</w:t>
      </w:r>
      <w:r w:rsidR="009571C0" w:rsidRPr="00797671">
        <w:t>-</w:t>
      </w:r>
      <w:r w:rsidRPr="00797671">
        <w:t>lesion nematodes (</w:t>
      </w:r>
      <w:proofErr w:type="spellStart"/>
      <w:r w:rsidRPr="00797671">
        <w:rPr>
          <w:i/>
          <w:iCs/>
        </w:rPr>
        <w:t>Pratylenchus</w:t>
      </w:r>
      <w:proofErr w:type="spellEnd"/>
      <w:r w:rsidRPr="00797671">
        <w:rPr>
          <w:i/>
          <w:iCs/>
        </w:rPr>
        <w:t xml:space="preserve"> </w:t>
      </w:r>
      <w:proofErr w:type="spellStart"/>
      <w:r w:rsidRPr="00797671">
        <w:rPr>
          <w:i/>
          <w:iCs/>
        </w:rPr>
        <w:t>scribneri</w:t>
      </w:r>
      <w:proofErr w:type="spellEnd"/>
      <w:r w:rsidRPr="00797671">
        <w:t xml:space="preserve">, </w:t>
      </w:r>
      <w:r w:rsidRPr="00797671">
        <w:rPr>
          <w:i/>
          <w:iCs/>
        </w:rPr>
        <w:t>P</w:t>
      </w:r>
      <w:r w:rsidR="009571C0" w:rsidRPr="00797671">
        <w:rPr>
          <w:i/>
          <w:iCs/>
        </w:rPr>
        <w:t>.</w:t>
      </w:r>
      <w:r w:rsidRPr="00797671">
        <w:rPr>
          <w:i/>
          <w:iCs/>
        </w:rPr>
        <w:t xml:space="preserve"> neglectus</w:t>
      </w:r>
      <w:r w:rsidRPr="00797671">
        <w:t xml:space="preserve">, </w:t>
      </w:r>
      <w:r w:rsidRPr="00797671">
        <w:rPr>
          <w:i/>
          <w:iCs/>
        </w:rPr>
        <w:t>P</w:t>
      </w:r>
      <w:r w:rsidR="009571C0" w:rsidRPr="00797671">
        <w:rPr>
          <w:i/>
          <w:iCs/>
        </w:rPr>
        <w:t>.</w:t>
      </w:r>
      <w:r w:rsidRPr="00797671">
        <w:rPr>
          <w:i/>
          <w:iCs/>
        </w:rPr>
        <w:t xml:space="preserve"> </w:t>
      </w:r>
      <w:proofErr w:type="spellStart"/>
      <w:r w:rsidRPr="00797671">
        <w:rPr>
          <w:i/>
          <w:iCs/>
        </w:rPr>
        <w:t>thornei</w:t>
      </w:r>
      <w:proofErr w:type="spellEnd"/>
      <w:r w:rsidRPr="00797671">
        <w:t>,</w:t>
      </w:r>
      <w:r w:rsidRPr="00797671">
        <w:rPr>
          <w:i/>
          <w:iCs/>
        </w:rPr>
        <w:t xml:space="preserve"> P</w:t>
      </w:r>
      <w:r w:rsidR="009571C0" w:rsidRPr="00797671">
        <w:rPr>
          <w:i/>
          <w:iCs/>
        </w:rPr>
        <w:t>.</w:t>
      </w:r>
      <w:r w:rsidRPr="00797671">
        <w:rPr>
          <w:i/>
          <w:iCs/>
        </w:rPr>
        <w:t xml:space="preserve"> </w:t>
      </w:r>
      <w:proofErr w:type="spellStart"/>
      <w:r w:rsidRPr="00797671">
        <w:rPr>
          <w:i/>
          <w:iCs/>
        </w:rPr>
        <w:t>penetrans</w:t>
      </w:r>
      <w:proofErr w:type="spellEnd"/>
      <w:r w:rsidR="009571C0" w:rsidRPr="00797671">
        <w:rPr>
          <w:iCs/>
        </w:rPr>
        <w:t>,</w:t>
      </w:r>
      <w:r w:rsidRPr="00797671">
        <w:t xml:space="preserve"> and </w:t>
      </w:r>
      <w:proofErr w:type="spellStart"/>
      <w:r w:rsidRPr="00797671">
        <w:rPr>
          <w:i/>
          <w:iCs/>
        </w:rPr>
        <w:t>Pratylenchus</w:t>
      </w:r>
      <w:proofErr w:type="spellEnd"/>
      <w:r w:rsidRPr="00797671">
        <w:t xml:space="preserve"> sp. ND-2016) were used to evaluate </w:t>
      </w:r>
      <w:r w:rsidR="00AE3418" w:rsidRPr="00797671">
        <w:t xml:space="preserve">the </w:t>
      </w:r>
      <w:r w:rsidRPr="00797671">
        <w:t xml:space="preserve">primer specificity. </w:t>
      </w:r>
      <w:r w:rsidR="009571C0" w:rsidRPr="00797671">
        <w:t>Seven</w:t>
      </w:r>
      <w:r w:rsidRPr="00797671">
        <w:t xml:space="preserve"> other genera of plant-parasitic nematodes (</w:t>
      </w:r>
      <w:proofErr w:type="spellStart"/>
      <w:r w:rsidRPr="00797671">
        <w:rPr>
          <w:i/>
          <w:iCs/>
        </w:rPr>
        <w:t>Paratylenchus</w:t>
      </w:r>
      <w:proofErr w:type="spellEnd"/>
      <w:r w:rsidRPr="00797671">
        <w:rPr>
          <w:i/>
          <w:iCs/>
        </w:rPr>
        <w:t xml:space="preserve"> </w:t>
      </w:r>
      <w:r w:rsidR="009571C0" w:rsidRPr="00797671">
        <w:t>s</w:t>
      </w:r>
      <w:r w:rsidRPr="00797671">
        <w:t xml:space="preserve">p., </w:t>
      </w:r>
      <w:proofErr w:type="spellStart"/>
      <w:r w:rsidRPr="00797671">
        <w:rPr>
          <w:i/>
          <w:iCs/>
        </w:rPr>
        <w:t>Paratrichodorus</w:t>
      </w:r>
      <w:proofErr w:type="spellEnd"/>
      <w:r w:rsidRPr="00797671">
        <w:rPr>
          <w:i/>
          <w:iCs/>
        </w:rPr>
        <w:t xml:space="preserve"> </w:t>
      </w:r>
      <w:r w:rsidRPr="00797671">
        <w:t xml:space="preserve">sp., </w:t>
      </w:r>
      <w:proofErr w:type="spellStart"/>
      <w:r w:rsidRPr="00797671">
        <w:rPr>
          <w:i/>
          <w:iCs/>
        </w:rPr>
        <w:t>Tylenchorhynchus</w:t>
      </w:r>
      <w:proofErr w:type="spellEnd"/>
      <w:r w:rsidRPr="00797671">
        <w:rPr>
          <w:i/>
          <w:iCs/>
        </w:rPr>
        <w:t xml:space="preserve"> </w:t>
      </w:r>
      <w:r w:rsidRPr="00797671">
        <w:t xml:space="preserve">sp., </w:t>
      </w:r>
      <w:proofErr w:type="spellStart"/>
      <w:r w:rsidRPr="00797671">
        <w:rPr>
          <w:i/>
          <w:iCs/>
        </w:rPr>
        <w:t>Helicotylenchus</w:t>
      </w:r>
      <w:proofErr w:type="spellEnd"/>
      <w:r w:rsidRPr="00797671">
        <w:t xml:space="preserve"> sp., </w:t>
      </w:r>
      <w:proofErr w:type="spellStart"/>
      <w:r w:rsidRPr="00797671">
        <w:rPr>
          <w:i/>
          <w:iCs/>
        </w:rPr>
        <w:t>Heterodera</w:t>
      </w:r>
      <w:proofErr w:type="spellEnd"/>
      <w:r w:rsidRPr="00797671">
        <w:rPr>
          <w:i/>
          <w:iCs/>
        </w:rPr>
        <w:t xml:space="preserve"> </w:t>
      </w:r>
      <w:proofErr w:type="spellStart"/>
      <w:r w:rsidRPr="00797671">
        <w:rPr>
          <w:i/>
          <w:iCs/>
        </w:rPr>
        <w:t>glycines</w:t>
      </w:r>
      <w:proofErr w:type="spellEnd"/>
      <w:r w:rsidRPr="00797671">
        <w:t xml:space="preserve">, </w:t>
      </w:r>
      <w:proofErr w:type="spellStart"/>
      <w:r w:rsidRPr="00797671">
        <w:rPr>
          <w:i/>
          <w:iCs/>
        </w:rPr>
        <w:t>Heterodera</w:t>
      </w:r>
      <w:proofErr w:type="spellEnd"/>
      <w:r w:rsidRPr="00797671">
        <w:rPr>
          <w:i/>
          <w:iCs/>
        </w:rPr>
        <w:t xml:space="preserve"> </w:t>
      </w:r>
      <w:proofErr w:type="spellStart"/>
      <w:r w:rsidRPr="00797671">
        <w:rPr>
          <w:i/>
          <w:iCs/>
        </w:rPr>
        <w:t>scha</w:t>
      </w:r>
      <w:r w:rsidR="009571C0" w:rsidRPr="00797671">
        <w:rPr>
          <w:i/>
          <w:iCs/>
        </w:rPr>
        <w:t>ch</w:t>
      </w:r>
      <w:r w:rsidRPr="00797671">
        <w:rPr>
          <w:i/>
          <w:iCs/>
        </w:rPr>
        <w:t>tii</w:t>
      </w:r>
      <w:proofErr w:type="spellEnd"/>
      <w:r w:rsidRPr="00797671">
        <w:rPr>
          <w:i/>
          <w:iCs/>
        </w:rPr>
        <w:t>,</w:t>
      </w:r>
      <w:r w:rsidRPr="00797671">
        <w:t xml:space="preserve"> </w:t>
      </w:r>
      <w:proofErr w:type="spellStart"/>
      <w:r w:rsidRPr="00797671">
        <w:rPr>
          <w:i/>
          <w:iCs/>
        </w:rPr>
        <w:t>Hoplolaimus</w:t>
      </w:r>
      <w:proofErr w:type="spellEnd"/>
      <w:r w:rsidRPr="00797671">
        <w:rPr>
          <w:i/>
          <w:iCs/>
        </w:rPr>
        <w:t xml:space="preserve"> </w:t>
      </w:r>
      <w:r w:rsidRPr="00797671">
        <w:t xml:space="preserve">sp., </w:t>
      </w:r>
      <w:r w:rsidR="000D779B" w:rsidRPr="00797671">
        <w:t xml:space="preserve">and </w:t>
      </w:r>
      <w:proofErr w:type="spellStart"/>
      <w:r w:rsidRPr="00797671">
        <w:rPr>
          <w:i/>
          <w:iCs/>
        </w:rPr>
        <w:t>Xiphinema</w:t>
      </w:r>
      <w:proofErr w:type="spellEnd"/>
      <w:r w:rsidRPr="00797671">
        <w:rPr>
          <w:i/>
          <w:iCs/>
        </w:rPr>
        <w:t xml:space="preserve"> </w:t>
      </w:r>
      <w:r w:rsidRPr="00797671">
        <w:t>sp.</w:t>
      </w:r>
      <w:r w:rsidR="009571C0" w:rsidRPr="00797671">
        <w:t>)</w:t>
      </w:r>
      <w:r w:rsidRPr="00797671">
        <w:t xml:space="preserve"> and </w:t>
      </w:r>
      <w:r w:rsidR="009571C0" w:rsidRPr="00797671">
        <w:t>two</w:t>
      </w:r>
      <w:r w:rsidRPr="00797671">
        <w:t xml:space="preserve"> genera of non-plant parasitic nematodes</w:t>
      </w:r>
      <w:r w:rsidR="00BA4687" w:rsidRPr="00797671">
        <w:t xml:space="preserve"> </w:t>
      </w:r>
      <w:r w:rsidRPr="00797671">
        <w:t>were also used in the specificity test</w:t>
      </w:r>
      <w:r w:rsidR="000628F2" w:rsidRPr="00797671">
        <w:t xml:space="preserve"> (Table 1)</w:t>
      </w:r>
      <w:r w:rsidRPr="00797671">
        <w:t xml:space="preserve">. The specificity tests confirmed that this primer set </w:t>
      </w:r>
      <w:r w:rsidR="009571C0" w:rsidRPr="00797671">
        <w:t>was</w:t>
      </w:r>
      <w:r w:rsidRPr="00797671">
        <w:t xml:space="preserve"> successfully and consistently able to amplify the target root</w:t>
      </w:r>
      <w:r w:rsidR="009571C0" w:rsidRPr="00797671">
        <w:t>-</w:t>
      </w:r>
      <w:r w:rsidRPr="00797671">
        <w:t xml:space="preserve">lesion nematode DNA </w:t>
      </w:r>
      <w:r w:rsidR="009571C0" w:rsidRPr="00797671">
        <w:t xml:space="preserve">and </w:t>
      </w:r>
      <w:r w:rsidRPr="00797671">
        <w:t xml:space="preserve">it </w:t>
      </w:r>
      <w:r w:rsidR="004E76A4" w:rsidRPr="00797671">
        <w:t>d</w:t>
      </w:r>
      <w:r w:rsidR="009571C0" w:rsidRPr="00797671">
        <w:t>id</w:t>
      </w:r>
      <w:r w:rsidR="004E76A4" w:rsidRPr="00797671">
        <w:t xml:space="preserve"> not </w:t>
      </w:r>
      <w:r w:rsidRPr="00797671">
        <w:t>amplify the DNA of non-target species.</w:t>
      </w:r>
    </w:p>
    <w:p w14:paraId="75A16F93" w14:textId="77777777" w:rsidR="00BA4687" w:rsidRPr="00797671" w:rsidRDefault="00BA4687" w:rsidP="00BA4687"/>
    <w:p w14:paraId="5690F74E" w14:textId="4730C81F" w:rsidR="00723F8B" w:rsidRPr="00797671" w:rsidRDefault="00905A2E" w:rsidP="00503C38">
      <w:r w:rsidRPr="00797671">
        <w:t>To determine the amplification efficiency of the primer set in real-time PCR assay, a standard curve was generated (Fig</w:t>
      </w:r>
      <w:r w:rsidR="0061139C" w:rsidRPr="00797671">
        <w:t>ure 1</w:t>
      </w:r>
      <w:r w:rsidRPr="00797671">
        <w:t>) based on the linear regression between the quantification cycle (</w:t>
      </w:r>
      <w:proofErr w:type="spellStart"/>
      <w:r w:rsidRPr="00797671">
        <w:t>Cq</w:t>
      </w:r>
      <w:proofErr w:type="spellEnd"/>
      <w:r w:rsidRPr="00797671">
        <w:t>) value</w:t>
      </w:r>
      <w:r w:rsidR="0061139C" w:rsidRPr="00797671">
        <w:t>s</w:t>
      </w:r>
      <w:r w:rsidRPr="00797671">
        <w:t xml:space="preserve"> and the log values of numbers of the target nematode. DNA from </w:t>
      </w:r>
      <w:r w:rsidR="00386D5A" w:rsidRPr="00797671">
        <w:t>4</w:t>
      </w:r>
      <w:r w:rsidRPr="00797671">
        <w:t xml:space="preserve"> individuals of the target root-lesion nematodes were subjected </w:t>
      </w:r>
      <w:r w:rsidR="00FF702E" w:rsidRPr="00797671">
        <w:t xml:space="preserve">to </w:t>
      </w:r>
      <w:r w:rsidRPr="00797671">
        <w:t>2-fold sequential serial dilution and 9 observation</w:t>
      </w:r>
      <w:r w:rsidR="00DD5C3B" w:rsidRPr="00797671">
        <w:t>s</w:t>
      </w:r>
      <w:r w:rsidRPr="00797671">
        <w:t xml:space="preserve"> (3 biological replicate</w:t>
      </w:r>
      <w:r w:rsidR="00DD5C3B" w:rsidRPr="00797671">
        <w:t>s</w:t>
      </w:r>
      <w:r w:rsidRPr="00797671">
        <w:t xml:space="preserve"> with 3 technical replicates) from each dilution level w</w:t>
      </w:r>
      <w:r w:rsidR="00DD5C3B" w:rsidRPr="00797671">
        <w:t>ere</w:t>
      </w:r>
      <w:r w:rsidRPr="00797671">
        <w:t xml:space="preserve"> used to generate the standard curve. The equation for the standard curve was determined as y = -3.</w:t>
      </w:r>
      <w:r w:rsidR="004E76A4" w:rsidRPr="00797671">
        <w:t>474</w:t>
      </w:r>
      <w:r w:rsidRPr="00797671">
        <w:t>x + 29.</w:t>
      </w:r>
      <w:r w:rsidR="004E76A4" w:rsidRPr="00797671">
        <w:t>002</w:t>
      </w:r>
      <w:r w:rsidRPr="00797671">
        <w:t>, with an R² value of 0.9</w:t>
      </w:r>
      <w:r w:rsidR="004E76A4" w:rsidRPr="00797671">
        <w:t>467</w:t>
      </w:r>
      <w:r w:rsidRPr="00797671">
        <w:t xml:space="preserve"> and an </w:t>
      </w:r>
      <w:r w:rsidR="00DD5C3B" w:rsidRPr="00797671">
        <w:t xml:space="preserve">amplification efficiency (E) </w:t>
      </w:r>
      <w:r w:rsidRPr="00797671">
        <w:t>of 9</w:t>
      </w:r>
      <w:r w:rsidR="004E76A4" w:rsidRPr="00797671">
        <w:t>4</w:t>
      </w:r>
      <w:r w:rsidRPr="00797671">
        <w:t>.</w:t>
      </w:r>
      <w:r w:rsidR="004E76A4" w:rsidRPr="00797671">
        <w:t>02</w:t>
      </w:r>
      <w:r w:rsidRPr="00797671">
        <w:t xml:space="preserve">%. </w:t>
      </w:r>
      <w:r w:rsidR="004E76A4" w:rsidRPr="00797671">
        <w:t>Thus</w:t>
      </w:r>
      <w:r w:rsidR="000147A1" w:rsidRPr="00797671">
        <w:t>,</w:t>
      </w:r>
      <w:r w:rsidR="004E76A4" w:rsidRPr="00797671">
        <w:t xml:space="preserve"> the standard curve generated shows a strong negative correlation between the </w:t>
      </w:r>
      <w:proofErr w:type="spellStart"/>
      <w:r w:rsidR="004E76A4" w:rsidRPr="00797671">
        <w:t>Cq</w:t>
      </w:r>
      <w:proofErr w:type="spellEnd"/>
      <w:r w:rsidR="004E76A4" w:rsidRPr="00797671">
        <w:t xml:space="preserve"> values from real-time PCR and the log values of numbers of the target nematode</w:t>
      </w:r>
      <w:r w:rsidR="00DD5C3B" w:rsidRPr="00797671">
        <w:t xml:space="preserve"> with high</w:t>
      </w:r>
      <w:r w:rsidR="0061139C" w:rsidRPr="00797671">
        <w:t xml:space="preserve"> amplification efficiency</w:t>
      </w:r>
      <w:r w:rsidR="00DD5C3B" w:rsidRPr="00797671">
        <w:t xml:space="preserve">.  </w:t>
      </w:r>
      <w:r w:rsidR="000147A1" w:rsidRPr="00797671">
        <w:t xml:space="preserve">To </w:t>
      </w:r>
      <w:r w:rsidR="00DD5C3B" w:rsidRPr="00797671">
        <w:t>check</w:t>
      </w:r>
      <w:r w:rsidR="000147A1" w:rsidRPr="00797671">
        <w:t xml:space="preserve"> the amplification specificity, melting curve analysis was also performed at the end of </w:t>
      </w:r>
      <w:r w:rsidR="00DD5C3B" w:rsidRPr="00797671">
        <w:t xml:space="preserve">real-time </w:t>
      </w:r>
      <w:r w:rsidR="000147A1" w:rsidRPr="00797671">
        <w:t xml:space="preserve">PCR </w:t>
      </w:r>
      <w:r w:rsidR="0061139C" w:rsidRPr="00797671">
        <w:t>amplification</w:t>
      </w:r>
      <w:r w:rsidR="000147A1" w:rsidRPr="00797671">
        <w:t>, which show</w:t>
      </w:r>
      <w:r w:rsidR="0061139C" w:rsidRPr="00797671">
        <w:t>ed</w:t>
      </w:r>
      <w:r w:rsidR="000147A1" w:rsidRPr="00797671">
        <w:t xml:space="preserve"> a single peak, indicating</w:t>
      </w:r>
      <w:r w:rsidR="00DD5C3B" w:rsidRPr="00797671">
        <w:t xml:space="preserve"> the</w:t>
      </w:r>
      <w:r w:rsidR="000147A1" w:rsidRPr="00797671">
        <w:t xml:space="preserve"> </w:t>
      </w:r>
      <w:r w:rsidR="000147A1" w:rsidRPr="00797671">
        <w:lastRenderedPageBreak/>
        <w:t>target species</w:t>
      </w:r>
      <w:r w:rsidR="0061139C" w:rsidRPr="00797671">
        <w:t>-</w:t>
      </w:r>
      <w:r w:rsidR="000147A1" w:rsidRPr="00797671">
        <w:t xml:space="preserve">specific amplicons </w:t>
      </w:r>
      <w:r w:rsidR="0061139C" w:rsidRPr="00797671">
        <w:t>were</w:t>
      </w:r>
      <w:r w:rsidR="000147A1" w:rsidRPr="00797671">
        <w:t xml:space="preserve"> formed in the assay (Fig</w:t>
      </w:r>
      <w:r w:rsidR="0061139C" w:rsidRPr="00797671">
        <w:t>ure</w:t>
      </w:r>
      <w:r w:rsidR="000147A1" w:rsidRPr="00797671">
        <w:t xml:space="preserve"> 2). </w:t>
      </w:r>
    </w:p>
    <w:p w14:paraId="628EF403" w14:textId="77777777" w:rsidR="00723F8B" w:rsidRPr="00797671" w:rsidRDefault="00723F8B" w:rsidP="00503C38"/>
    <w:p w14:paraId="4800EF87" w14:textId="2D81AFC6" w:rsidR="008E4E4F" w:rsidRPr="00797671" w:rsidRDefault="000147A1" w:rsidP="00503C38">
      <w:r w:rsidRPr="00797671">
        <w:t xml:space="preserve">The sensitivity of the </w:t>
      </w:r>
      <w:r w:rsidR="008E4E4F" w:rsidRPr="00797671">
        <w:t xml:space="preserve">primer </w:t>
      </w:r>
      <w:r w:rsidR="00C33871" w:rsidRPr="00797671">
        <w:t xml:space="preserve">set </w:t>
      </w:r>
      <w:r w:rsidR="008E4E4F" w:rsidRPr="00797671">
        <w:t xml:space="preserve">was also determined </w:t>
      </w:r>
      <w:r w:rsidR="00851915" w:rsidRPr="00797671">
        <w:t>for</w:t>
      </w:r>
      <w:r w:rsidR="008E4E4F" w:rsidRPr="00797671">
        <w:t xml:space="preserve"> th</w:t>
      </w:r>
      <w:r w:rsidR="00C33871" w:rsidRPr="00797671">
        <w:t>e</w:t>
      </w:r>
      <w:r w:rsidR="008E4E4F" w:rsidRPr="00797671">
        <w:t xml:space="preserve"> real time PCR assay. The assay was able to amplify the DNA of 4 individuals diluted </w:t>
      </w:r>
      <w:r w:rsidR="00B40DDA" w:rsidRPr="00797671">
        <w:t>8</w:t>
      </w:r>
      <w:r w:rsidR="008E4E4F" w:rsidRPr="00797671">
        <w:t xml:space="preserve"> times</w:t>
      </w:r>
      <w:r w:rsidR="00B40DDA" w:rsidRPr="00797671">
        <w:t xml:space="preserve"> (4, 2, 1, 0.5, 0.25, 0.125, 0.0625 and 0.03125), however</w:t>
      </w:r>
      <w:r w:rsidR="00C33871" w:rsidRPr="00797671">
        <w:t>,</w:t>
      </w:r>
      <w:r w:rsidR="00B40DDA" w:rsidRPr="00797671">
        <w:t xml:space="preserve"> DNA from the 9</w:t>
      </w:r>
      <w:r w:rsidR="00B40DDA" w:rsidRPr="00797671">
        <w:rPr>
          <w:vertAlign w:val="superscript"/>
        </w:rPr>
        <w:t>th</w:t>
      </w:r>
      <w:r w:rsidR="00B40DDA" w:rsidRPr="00797671">
        <w:t xml:space="preserve"> dilution (0.015625) was not amplified in the assay</w:t>
      </w:r>
      <w:r w:rsidR="00C33871" w:rsidRPr="00797671">
        <w:t>,</w:t>
      </w:r>
      <w:r w:rsidR="00B40DDA" w:rsidRPr="00797671">
        <w:t xml:space="preserve"> </w:t>
      </w:r>
      <w:r w:rsidR="00C33871" w:rsidRPr="00797671">
        <w:t>s</w:t>
      </w:r>
      <w:r w:rsidR="00B40DDA" w:rsidRPr="00797671">
        <w:t xml:space="preserve">uggesting this primer set </w:t>
      </w:r>
      <w:bookmarkStart w:id="1" w:name="_Hlk44276695"/>
      <w:r w:rsidR="00B40DDA" w:rsidRPr="00797671">
        <w:t>could detect an equivalent to 1/32 of the DNA of a single nematode</w:t>
      </w:r>
      <w:bookmarkEnd w:id="1"/>
      <w:r w:rsidR="00B40DDA" w:rsidRPr="00797671">
        <w:t xml:space="preserve">. </w:t>
      </w:r>
    </w:p>
    <w:p w14:paraId="2181DB31" w14:textId="0DC2A046" w:rsidR="00F316A8" w:rsidRPr="00797671" w:rsidRDefault="00F316A8" w:rsidP="00503C38"/>
    <w:p w14:paraId="438030E0" w14:textId="2DE78597" w:rsidR="00F316A8" w:rsidRPr="00797671" w:rsidRDefault="00F316A8" w:rsidP="00F316A8">
      <w:r w:rsidRPr="00797671">
        <w:t xml:space="preserve">A total of 27 fields were selected for soil sample collection based on our previous work to test the real-time PCR assay. Nematodes were extracted from these soil samples as described above and root-lesion nematodes along with other plant-parasitic nematodes were identified and quantified based on their morphological features under a light microscope. Twenty of these samples were found to be positive with root-lesion nematodes. The population densities in these fields ranged from </w:t>
      </w:r>
      <w:r w:rsidR="003C19E3" w:rsidRPr="00797671">
        <w:t>15</w:t>
      </w:r>
      <w:r w:rsidRPr="00797671">
        <w:t xml:space="preserve"> to </w:t>
      </w:r>
      <w:r w:rsidR="003C19E3" w:rsidRPr="00797671">
        <w:t>360</w:t>
      </w:r>
      <w:r w:rsidRPr="00797671">
        <w:t xml:space="preserve"> root-lesion nematodes per </w:t>
      </w:r>
      <w:r w:rsidR="003C19E3" w:rsidRPr="00797671">
        <w:t>100 cc</w:t>
      </w:r>
      <w:r w:rsidRPr="00797671">
        <w:t xml:space="preserve"> of soil. DNA was extracted from</w:t>
      </w:r>
      <w:r w:rsidR="00B96572" w:rsidRPr="00797671">
        <w:t xml:space="preserve"> the</w:t>
      </w:r>
      <w:r w:rsidRPr="00797671">
        <w:t xml:space="preserve"> root-lesion nematodes obtained</w:t>
      </w:r>
      <w:r w:rsidR="00B96572" w:rsidRPr="00797671">
        <w:t xml:space="preserve"> from</w:t>
      </w:r>
      <w:r w:rsidRPr="00797671">
        <w:t xml:space="preserve"> </w:t>
      </w:r>
      <w:r w:rsidR="00B96572" w:rsidRPr="00797671">
        <w:t>each of the</w:t>
      </w:r>
      <w:r w:rsidRPr="00797671">
        <w:t xml:space="preserve"> </w:t>
      </w:r>
      <w:r w:rsidR="00B96572" w:rsidRPr="00797671">
        <w:t>sa</w:t>
      </w:r>
      <w:r w:rsidRPr="00797671">
        <w:t>mples</w:t>
      </w:r>
      <w:r w:rsidR="00B96572" w:rsidRPr="00797671">
        <w:t>.</w:t>
      </w:r>
      <w:r w:rsidRPr="00797671">
        <w:t xml:space="preserve"> These DNA samples </w:t>
      </w:r>
      <w:r w:rsidR="00B96572" w:rsidRPr="00797671">
        <w:t>were use</w:t>
      </w:r>
      <w:r w:rsidRPr="00797671">
        <w:t xml:space="preserve">d to test whether the real-time PCR assay can accurately detect and differentiate this new species from other </w:t>
      </w:r>
      <w:r w:rsidR="000B3C46" w:rsidRPr="00797671">
        <w:t xml:space="preserve">root-lesion </w:t>
      </w:r>
      <w:r w:rsidRPr="00797671">
        <w:t xml:space="preserve">nematode species. The </w:t>
      </w:r>
      <w:r w:rsidR="001F26E4" w:rsidRPr="00797671">
        <w:t xml:space="preserve">root-lesion </w:t>
      </w:r>
      <w:r w:rsidRPr="00797671">
        <w:t>nematode species identit</w:t>
      </w:r>
      <w:r w:rsidR="000B3C46" w:rsidRPr="00797671">
        <w:t>ies</w:t>
      </w:r>
      <w:r w:rsidRPr="00797671">
        <w:t xml:space="preserve"> </w:t>
      </w:r>
      <w:r w:rsidR="001F26E4" w:rsidRPr="00797671">
        <w:t>in</w:t>
      </w:r>
      <w:r w:rsidR="00B96572" w:rsidRPr="00797671">
        <w:t xml:space="preserve"> these samples w</w:t>
      </w:r>
      <w:r w:rsidR="000B3C46" w:rsidRPr="00797671">
        <w:t>ere</w:t>
      </w:r>
      <w:r w:rsidR="00B96572" w:rsidRPr="00797671">
        <w:t xml:space="preserve"> </w:t>
      </w:r>
      <w:r w:rsidRPr="00797671">
        <w:t xml:space="preserve">confirmed </w:t>
      </w:r>
      <w:r w:rsidR="001F26E4" w:rsidRPr="00797671">
        <w:t>by</w:t>
      </w:r>
      <w:r w:rsidRPr="00797671">
        <w:t xml:space="preserve"> species-specific PCR</w:t>
      </w:r>
      <w:r w:rsidR="000B3C46" w:rsidRPr="00797671">
        <w:t xml:space="preserve"> or DNA sequencing </w:t>
      </w:r>
      <w:r w:rsidR="00B96572" w:rsidRPr="00797671">
        <w:t>(Table 2)</w:t>
      </w:r>
      <w:r w:rsidRPr="00797671">
        <w:t>.</w:t>
      </w:r>
      <w:r w:rsidR="00B96572" w:rsidRPr="00797671">
        <w:t xml:space="preserve"> </w:t>
      </w:r>
      <w:r w:rsidR="0054756B" w:rsidRPr="00797671">
        <w:t>Out o</w:t>
      </w:r>
      <w:r w:rsidR="00B96572" w:rsidRPr="00797671">
        <w:t xml:space="preserve">f the 20 samples, </w:t>
      </w:r>
      <w:r w:rsidR="004C5BAD" w:rsidRPr="00797671">
        <w:t xml:space="preserve">11 were determined to </w:t>
      </w:r>
      <w:r w:rsidR="000B3C46" w:rsidRPr="00797671">
        <w:t xml:space="preserve">be </w:t>
      </w:r>
      <w:r w:rsidR="004C5BAD" w:rsidRPr="00797671">
        <w:rPr>
          <w:i/>
          <w:iCs/>
        </w:rPr>
        <w:t>P</w:t>
      </w:r>
      <w:r w:rsidR="000D779B" w:rsidRPr="00797671">
        <w:rPr>
          <w:i/>
          <w:iCs/>
        </w:rPr>
        <w:t>.</w:t>
      </w:r>
      <w:r w:rsidR="004C5BAD" w:rsidRPr="00797671">
        <w:rPr>
          <w:i/>
          <w:iCs/>
        </w:rPr>
        <w:t xml:space="preserve"> neglectus</w:t>
      </w:r>
      <w:r w:rsidR="004C5BAD" w:rsidRPr="00797671">
        <w:t xml:space="preserve"> whereas 8 were </w:t>
      </w:r>
      <w:r w:rsidR="004C5BAD" w:rsidRPr="00797671">
        <w:rPr>
          <w:i/>
          <w:iCs/>
        </w:rPr>
        <w:t>P</w:t>
      </w:r>
      <w:r w:rsidR="000D779B" w:rsidRPr="00797671">
        <w:rPr>
          <w:i/>
          <w:iCs/>
        </w:rPr>
        <w:t>.</w:t>
      </w:r>
      <w:r w:rsidR="004C5BAD" w:rsidRPr="00797671">
        <w:rPr>
          <w:i/>
          <w:iCs/>
        </w:rPr>
        <w:t xml:space="preserve"> </w:t>
      </w:r>
      <w:proofErr w:type="spellStart"/>
      <w:r w:rsidR="000B3C46" w:rsidRPr="00797671">
        <w:rPr>
          <w:i/>
          <w:iCs/>
          <w:color w:val="000000"/>
        </w:rPr>
        <w:t>scribneri</w:t>
      </w:r>
      <w:proofErr w:type="spellEnd"/>
      <w:r w:rsidR="000B3C46" w:rsidRPr="00797671">
        <w:t xml:space="preserve"> </w:t>
      </w:r>
      <w:r w:rsidR="004C5BAD" w:rsidRPr="00797671">
        <w:t>through species specific conventional PCR.</w:t>
      </w:r>
      <w:r w:rsidR="004C5BAD" w:rsidRPr="00797671">
        <w:rPr>
          <w:i/>
          <w:iCs/>
        </w:rPr>
        <w:t xml:space="preserve"> </w:t>
      </w:r>
      <w:r w:rsidR="004C5BAD" w:rsidRPr="00797671">
        <w:t xml:space="preserve">The </w:t>
      </w:r>
      <w:r w:rsidR="00B96572" w:rsidRPr="00797671">
        <w:t>ITS1F/ITS1R primer set</w:t>
      </w:r>
      <w:r w:rsidR="004C5BAD" w:rsidRPr="00797671">
        <w:t xml:space="preserve"> designed in this study could not amplify any of those 19 samples, however</w:t>
      </w:r>
      <w:r w:rsidR="000B3C46" w:rsidRPr="00797671">
        <w:t>,</w:t>
      </w:r>
      <w:r w:rsidR="004C5BAD" w:rsidRPr="00797671">
        <w:t xml:space="preserve"> it </w:t>
      </w:r>
      <w:r w:rsidR="00B96572" w:rsidRPr="00797671">
        <w:t xml:space="preserve">was able to amplify the DNA </w:t>
      </w:r>
      <w:r w:rsidR="004C5BAD" w:rsidRPr="00797671">
        <w:t xml:space="preserve">of root-lesion nematodes obtained from a field sample that was collected from a </w:t>
      </w:r>
      <w:r w:rsidR="00E01015" w:rsidRPr="00797671">
        <w:t xml:space="preserve">field that is </w:t>
      </w:r>
      <w:r w:rsidR="004C5BAD" w:rsidRPr="00797671">
        <w:t xml:space="preserve">neighboring the </w:t>
      </w:r>
      <w:r w:rsidR="00E01015" w:rsidRPr="00797671">
        <w:t>field where the new root-lesion nematode was first detected.</w:t>
      </w:r>
      <w:r w:rsidR="004C5BAD" w:rsidRPr="00797671">
        <w:t xml:space="preserve"> </w:t>
      </w:r>
      <w:r w:rsidR="00E01015" w:rsidRPr="00797671">
        <w:t>Thus</w:t>
      </w:r>
      <w:r w:rsidR="00571DAC" w:rsidRPr="00797671">
        <w:t>,</w:t>
      </w:r>
      <w:r w:rsidR="003911F2" w:rsidRPr="00797671">
        <w:t xml:space="preserve"> the results</w:t>
      </w:r>
      <w:r w:rsidR="00E01015" w:rsidRPr="00797671">
        <w:t xml:space="preserve"> indicat</w:t>
      </w:r>
      <w:r w:rsidR="003911F2" w:rsidRPr="00797671">
        <w:t>e</w:t>
      </w:r>
      <w:r w:rsidR="00E01015" w:rsidRPr="00797671">
        <w:t xml:space="preserve"> that the primer set designed is able to accurately detect and differentiate the new species </w:t>
      </w:r>
      <w:r w:rsidR="003911F2" w:rsidRPr="00797671">
        <w:t xml:space="preserve">from other </w:t>
      </w:r>
      <w:r w:rsidR="00E01015" w:rsidRPr="00797671">
        <w:t>root</w:t>
      </w:r>
      <w:r w:rsidR="003911F2" w:rsidRPr="00797671">
        <w:t>-</w:t>
      </w:r>
      <w:r w:rsidR="00E01015" w:rsidRPr="00797671">
        <w:t>lesion nematode</w:t>
      </w:r>
      <w:r w:rsidR="003911F2" w:rsidRPr="00797671">
        <w:t xml:space="preserve"> species in North Dakota</w:t>
      </w:r>
      <w:r w:rsidR="00E01015" w:rsidRPr="00797671">
        <w:t>.</w:t>
      </w:r>
    </w:p>
    <w:p w14:paraId="66C7CF81" w14:textId="1A707C4E" w:rsidR="0040593A" w:rsidRPr="00797671" w:rsidRDefault="0040593A" w:rsidP="00F316A8"/>
    <w:p w14:paraId="6FA2BA8B" w14:textId="0E2DB43E" w:rsidR="004C7078" w:rsidRPr="00797671" w:rsidRDefault="0040593A" w:rsidP="00F316A8">
      <w:pPr>
        <w:rPr>
          <w:iCs/>
          <w:color w:val="000000"/>
          <w:shd w:val="clear" w:color="auto" w:fill="FFFFFF"/>
        </w:rPr>
      </w:pPr>
      <w:r w:rsidRPr="00797671">
        <w:t xml:space="preserve">To molecularly characterize the new root-lesion nematode species, DNA </w:t>
      </w:r>
      <w:r w:rsidR="004C7078" w:rsidRPr="00797671">
        <w:t xml:space="preserve">was </w:t>
      </w:r>
      <w:r w:rsidRPr="00797671">
        <w:t xml:space="preserve">extracted from single target nematodes. Three genomic regions (D2-D3 of 28S rDNA, ITS of rDNA, </w:t>
      </w:r>
      <w:hyperlink r:id="rId7" w:history="1">
        <w:r w:rsidRPr="00797671">
          <w:t>cytochrome oxidase subunit I </w:t>
        </w:r>
      </w:hyperlink>
      <w:r w:rsidRPr="00797671">
        <w:t xml:space="preserve">gene) </w:t>
      </w:r>
      <w:r w:rsidR="004C7078" w:rsidRPr="00797671">
        <w:t>were</w:t>
      </w:r>
      <w:r w:rsidRPr="00797671">
        <w:t xml:space="preserve"> amplified and sequenced. Nucleotide sequences of these three genomic regions from other </w:t>
      </w:r>
      <w:r w:rsidRPr="00797671">
        <w:rPr>
          <w:i/>
        </w:rPr>
        <w:t xml:space="preserve">Pratylenchus </w:t>
      </w:r>
      <w:r w:rsidRPr="00797671">
        <w:t xml:space="preserve">species </w:t>
      </w:r>
      <w:r w:rsidR="004C7078" w:rsidRPr="00797671">
        <w:t>were</w:t>
      </w:r>
      <w:r w:rsidRPr="00797671">
        <w:t xml:space="preserve"> retrieved from GenBank. Phylogenetic analysis</w:t>
      </w:r>
      <w:r w:rsidR="004C7078" w:rsidRPr="00797671">
        <w:t xml:space="preserve"> was </w:t>
      </w:r>
      <w:r w:rsidRPr="00797671">
        <w:t xml:space="preserve">conducted </w:t>
      </w:r>
      <w:r w:rsidRPr="00797671">
        <w:rPr>
          <w:iCs/>
          <w:color w:val="000000"/>
          <w:shd w:val="clear" w:color="auto" w:fill="FFFFFF"/>
        </w:rPr>
        <w:t xml:space="preserve">using MEGA7 software. </w:t>
      </w:r>
      <w:r w:rsidR="004C7078" w:rsidRPr="00797671">
        <w:rPr>
          <w:iCs/>
          <w:color w:val="000000"/>
          <w:shd w:val="clear" w:color="auto" w:fill="FFFFFF"/>
        </w:rPr>
        <w:t>Three p</w:t>
      </w:r>
      <w:r w:rsidRPr="00797671">
        <w:rPr>
          <w:iCs/>
          <w:color w:val="000000"/>
          <w:shd w:val="clear" w:color="auto" w:fill="FFFFFF"/>
        </w:rPr>
        <w:t xml:space="preserve">hylogeny trees </w:t>
      </w:r>
      <w:r w:rsidR="00E41F5C" w:rsidRPr="00797671">
        <w:rPr>
          <w:iCs/>
          <w:color w:val="000000"/>
          <w:shd w:val="clear" w:color="auto" w:fill="FFFFFF"/>
        </w:rPr>
        <w:t xml:space="preserve">based on the three </w:t>
      </w:r>
      <w:r w:rsidR="00E41F5C" w:rsidRPr="00797671">
        <w:t xml:space="preserve">genomic regions </w:t>
      </w:r>
      <w:r w:rsidR="004C7078" w:rsidRPr="00797671">
        <w:rPr>
          <w:iCs/>
          <w:color w:val="000000"/>
          <w:shd w:val="clear" w:color="auto" w:fill="FFFFFF"/>
        </w:rPr>
        <w:t>were</w:t>
      </w:r>
      <w:r w:rsidRPr="00797671">
        <w:rPr>
          <w:iCs/>
          <w:color w:val="000000"/>
          <w:shd w:val="clear" w:color="auto" w:fill="FFFFFF"/>
        </w:rPr>
        <w:t xml:space="preserve"> constructed using maximum likelihood method</w:t>
      </w:r>
      <w:r w:rsidR="00E41F5C" w:rsidRPr="00797671">
        <w:rPr>
          <w:iCs/>
          <w:color w:val="000000"/>
          <w:shd w:val="clear" w:color="auto" w:fill="FFFFFF"/>
        </w:rPr>
        <w:t xml:space="preserve">. </w:t>
      </w:r>
      <w:r w:rsidR="00610089" w:rsidRPr="00797671">
        <w:rPr>
          <w:iCs/>
          <w:color w:val="000000"/>
          <w:shd w:val="clear" w:color="auto" w:fill="FFFFFF"/>
        </w:rPr>
        <w:t xml:space="preserve">The new root-lesion nematode </w:t>
      </w:r>
      <w:r w:rsidR="007A3ED5" w:rsidRPr="00797671">
        <w:rPr>
          <w:iCs/>
          <w:color w:val="000000"/>
          <w:shd w:val="clear" w:color="auto" w:fill="FFFFFF"/>
        </w:rPr>
        <w:t xml:space="preserve">species </w:t>
      </w:r>
      <w:r w:rsidR="00610089" w:rsidRPr="00797671">
        <w:rPr>
          <w:iCs/>
          <w:color w:val="000000"/>
          <w:shd w:val="clear" w:color="auto" w:fill="FFFFFF"/>
        </w:rPr>
        <w:t xml:space="preserve">was </w:t>
      </w:r>
      <w:r w:rsidR="0054756B" w:rsidRPr="00797671">
        <w:rPr>
          <w:iCs/>
          <w:color w:val="000000"/>
          <w:shd w:val="clear" w:color="auto" w:fill="FFFFFF"/>
        </w:rPr>
        <w:t xml:space="preserve">found to be </w:t>
      </w:r>
      <w:r w:rsidR="00610089" w:rsidRPr="00797671">
        <w:rPr>
          <w:iCs/>
          <w:color w:val="000000"/>
          <w:shd w:val="clear" w:color="auto" w:fill="FFFFFF"/>
        </w:rPr>
        <w:t xml:space="preserve">present in a </w:t>
      </w:r>
      <w:r w:rsidR="007A3ED5" w:rsidRPr="00797671">
        <w:rPr>
          <w:iCs/>
          <w:color w:val="000000"/>
          <w:shd w:val="clear" w:color="auto" w:fill="FFFFFF"/>
        </w:rPr>
        <w:t>separate</w:t>
      </w:r>
      <w:r w:rsidR="00610089" w:rsidRPr="00797671">
        <w:rPr>
          <w:iCs/>
          <w:color w:val="000000"/>
          <w:shd w:val="clear" w:color="auto" w:fill="FFFFFF"/>
        </w:rPr>
        <w:t xml:space="preserve"> clade</w:t>
      </w:r>
      <w:r w:rsidR="007A3ED5" w:rsidRPr="00797671">
        <w:rPr>
          <w:iCs/>
          <w:color w:val="000000"/>
          <w:shd w:val="clear" w:color="auto" w:fill="FFFFFF"/>
        </w:rPr>
        <w:t xml:space="preserve">, </w:t>
      </w:r>
      <w:r w:rsidR="007A3ED5" w:rsidRPr="00797671">
        <w:t>indicating the divergence among species (Figure</w:t>
      </w:r>
      <w:r w:rsidR="0054756B" w:rsidRPr="00797671">
        <w:t xml:space="preserve"> 3</w:t>
      </w:r>
      <w:r w:rsidR="007A3ED5" w:rsidRPr="00797671">
        <w:t>).</w:t>
      </w:r>
      <w:r w:rsidR="00610089" w:rsidRPr="00797671">
        <w:rPr>
          <w:iCs/>
          <w:color w:val="000000"/>
          <w:shd w:val="clear" w:color="auto" w:fill="FFFFFF"/>
        </w:rPr>
        <w:t xml:space="preserve"> </w:t>
      </w:r>
      <w:r w:rsidR="00E41F5C" w:rsidRPr="00797671">
        <w:rPr>
          <w:iCs/>
          <w:color w:val="000000"/>
          <w:shd w:val="clear" w:color="auto" w:fill="FFFFFF"/>
        </w:rPr>
        <w:t xml:space="preserve"> </w:t>
      </w:r>
    </w:p>
    <w:p w14:paraId="4A096C09" w14:textId="66827ACC" w:rsidR="00571DAC" w:rsidRPr="00797671" w:rsidRDefault="00571DAC" w:rsidP="00F316A8"/>
    <w:p w14:paraId="36ADC2AB" w14:textId="55219507" w:rsidR="00571DAC" w:rsidRPr="00797671" w:rsidRDefault="00571DAC" w:rsidP="00F316A8">
      <w:r w:rsidRPr="00797671">
        <w:t>The new molecular assay developed in this study provides a strong</w:t>
      </w:r>
      <w:r w:rsidR="0054756B" w:rsidRPr="00797671">
        <w:t>,</w:t>
      </w:r>
      <w:r w:rsidRPr="00797671">
        <w:t xml:space="preserve"> </w:t>
      </w:r>
      <w:r w:rsidR="008613BF" w:rsidRPr="00797671">
        <w:t>robust</w:t>
      </w:r>
      <w:r w:rsidRPr="00797671">
        <w:t xml:space="preserve"> platform that can be used to specifically and sensitively detect the new root-lesion nematode </w:t>
      </w:r>
      <w:r w:rsidR="00A73F3A" w:rsidRPr="00797671">
        <w:t xml:space="preserve">species </w:t>
      </w:r>
      <w:r w:rsidRPr="00797671">
        <w:t>detected in North Dakota soybean field</w:t>
      </w:r>
      <w:r w:rsidR="00A73F3A" w:rsidRPr="00797671">
        <w:t>s</w:t>
      </w:r>
      <w:r w:rsidRPr="00797671">
        <w:t xml:space="preserve">. This method of detection allows us to avoid the time-consuming and labor-intensive steps of root-lesion nematode species </w:t>
      </w:r>
      <w:r w:rsidR="00A73F3A" w:rsidRPr="00797671">
        <w:t>identification</w:t>
      </w:r>
      <w:r w:rsidRPr="00797671">
        <w:t xml:space="preserve"> based on morphology under a microscope</w:t>
      </w:r>
      <w:r w:rsidR="008613BF" w:rsidRPr="00797671">
        <w:t>. Establishing an efficient and quick detection method for the new species of root-lesion nematode</w:t>
      </w:r>
      <w:r w:rsidRPr="00797671">
        <w:t xml:space="preserve"> </w:t>
      </w:r>
      <w:r w:rsidR="008613BF" w:rsidRPr="00797671">
        <w:t xml:space="preserve">can allow us to move </w:t>
      </w:r>
      <w:r w:rsidR="004D31CC" w:rsidRPr="00797671">
        <w:t xml:space="preserve">faster </w:t>
      </w:r>
      <w:r w:rsidR="008613BF" w:rsidRPr="00797671">
        <w:t xml:space="preserve">to nematode risk </w:t>
      </w:r>
      <w:r w:rsidR="0054756B" w:rsidRPr="00797671">
        <w:t xml:space="preserve">assessment and </w:t>
      </w:r>
      <w:r w:rsidR="008613BF" w:rsidRPr="00797671">
        <w:t xml:space="preserve">management steps for infested fields. </w:t>
      </w:r>
    </w:p>
    <w:p w14:paraId="6FD36872" w14:textId="77777777" w:rsidR="00E01015" w:rsidRPr="00B567CB" w:rsidRDefault="00E01015" w:rsidP="00F316A8">
      <w:pPr>
        <w:rPr>
          <w:rFonts w:cstheme="minorHAnsi"/>
        </w:rPr>
      </w:pPr>
    </w:p>
    <w:p w14:paraId="3FBEFC55" w14:textId="1C5AE064" w:rsidR="00905A2E" w:rsidRPr="00E01015" w:rsidRDefault="00F316A8" w:rsidP="00905A2E">
      <w:pPr>
        <w:rPr>
          <w:rFonts w:cstheme="minorHAnsi"/>
        </w:rPr>
      </w:pPr>
      <w:r w:rsidRPr="00B567CB">
        <w:rPr>
          <w:rFonts w:cstheme="minorHAnsi"/>
        </w:rPr>
        <w:t xml:space="preserve"> </w:t>
      </w:r>
    </w:p>
    <w:p w14:paraId="1D5D320E" w14:textId="0006285D" w:rsidR="00723F8B" w:rsidRDefault="00723F8B" w:rsidP="00905A2E">
      <w:pPr>
        <w:rPr>
          <w:b/>
          <w:bCs/>
        </w:rPr>
      </w:pPr>
    </w:p>
    <w:p w14:paraId="074729C4" w14:textId="77777777" w:rsidR="000D779B" w:rsidRDefault="000D779B" w:rsidP="00905A2E">
      <w:pPr>
        <w:rPr>
          <w:b/>
          <w:bCs/>
        </w:rPr>
      </w:pPr>
    </w:p>
    <w:p w14:paraId="50C04BDB" w14:textId="7C2AF87B" w:rsidR="00723F8B" w:rsidRDefault="00723F8B" w:rsidP="00905A2E">
      <w:pPr>
        <w:rPr>
          <w:b/>
          <w:bCs/>
        </w:rPr>
      </w:pPr>
    </w:p>
    <w:p w14:paraId="178B846B" w14:textId="3D41C024" w:rsidR="00723F8B" w:rsidRDefault="00FD5DA9" w:rsidP="00905A2E">
      <w:pPr>
        <w:rPr>
          <w:b/>
          <w:bCs/>
        </w:rPr>
      </w:pPr>
      <w:r w:rsidRPr="00CC3AC1">
        <w:rPr>
          <w:b/>
        </w:rPr>
        <w:lastRenderedPageBreak/>
        <w:t xml:space="preserve">Table 1. </w:t>
      </w:r>
      <w:r w:rsidRPr="00CC3AC1">
        <w:rPr>
          <w:bCs/>
        </w:rPr>
        <w:t>Specificity of ITS</w:t>
      </w:r>
      <w:r>
        <w:rPr>
          <w:bCs/>
        </w:rPr>
        <w:t>1</w:t>
      </w:r>
      <w:r w:rsidRPr="00CC3AC1">
        <w:rPr>
          <w:bCs/>
        </w:rPr>
        <w:t xml:space="preserve">F and ITS1R primer set </w:t>
      </w:r>
      <w:r>
        <w:rPr>
          <w:bCs/>
        </w:rPr>
        <w:t>designed to identify the new root-lesion nematode species detected in a soybean field of North Dakota.</w:t>
      </w:r>
    </w:p>
    <w:tbl>
      <w:tblPr>
        <w:tblpPr w:leftFromText="180" w:rightFromText="180" w:vertAnchor="page" w:horzAnchor="margin" w:tblpXSpec="center" w:tblpY="2161"/>
        <w:tblW w:w="9090" w:type="dxa"/>
        <w:tblLook w:val="04A0" w:firstRow="1" w:lastRow="0" w:firstColumn="1" w:lastColumn="0" w:noHBand="0" w:noVBand="1"/>
      </w:tblPr>
      <w:tblGrid>
        <w:gridCol w:w="1530"/>
        <w:gridCol w:w="3060"/>
        <w:gridCol w:w="990"/>
        <w:gridCol w:w="1800"/>
        <w:gridCol w:w="1710"/>
      </w:tblGrid>
      <w:tr w:rsidR="00FD5DA9" w:rsidRPr="00CC3AC1" w14:paraId="0F670E5F" w14:textId="77777777" w:rsidTr="00766A88">
        <w:trPr>
          <w:trHeight w:val="294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B145" w14:textId="01B8F09A" w:rsidR="00FD5DA9" w:rsidRPr="006940D8" w:rsidRDefault="00FD5DA9" w:rsidP="00FD5DA9">
            <w:pPr>
              <w:rPr>
                <w:color w:val="000000"/>
                <w:vertAlign w:val="superscript"/>
              </w:rPr>
            </w:pPr>
            <w:r w:rsidRPr="00CC3AC1">
              <w:rPr>
                <w:color w:val="000000"/>
              </w:rPr>
              <w:t xml:space="preserve">Sample </w:t>
            </w:r>
            <w:proofErr w:type="spellStart"/>
            <w:r w:rsidRPr="00CC3AC1">
              <w:rPr>
                <w:color w:val="000000"/>
              </w:rPr>
              <w:t>ID</w:t>
            </w:r>
            <w:r w:rsidR="00DD0E0B">
              <w:rPr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67DF" w14:textId="0C1BCFD7" w:rsidR="00FD5DA9" w:rsidRPr="006940D8" w:rsidRDefault="00FD5DA9" w:rsidP="00FD5DA9">
            <w:pPr>
              <w:rPr>
                <w:color w:val="000000"/>
                <w:vertAlign w:val="superscript"/>
              </w:rPr>
            </w:pPr>
            <w:r w:rsidRPr="00CC3AC1">
              <w:rPr>
                <w:color w:val="000000"/>
              </w:rPr>
              <w:t>Species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D584" w14:textId="5AE05B9B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 xml:space="preserve"># of </w:t>
            </w:r>
            <w:proofErr w:type="spellStart"/>
            <w:r w:rsidRPr="00CC3AC1">
              <w:rPr>
                <w:color w:val="000000"/>
              </w:rPr>
              <w:t>Nema</w:t>
            </w:r>
            <w:r w:rsidR="00893BAB" w:rsidRPr="00893BAB">
              <w:rPr>
                <w:color w:val="000000"/>
                <w:vertAlign w:val="superscript"/>
              </w:rPr>
              <w:t>b</w:t>
            </w:r>
            <w:proofErr w:type="spellEnd"/>
            <w:r w:rsidRPr="00CC3AC1">
              <w:rPr>
                <w:color w:val="000000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11A9E" w14:textId="5B18ECA9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 xml:space="preserve">PCR </w:t>
            </w:r>
            <w:proofErr w:type="spellStart"/>
            <w:r w:rsidRPr="00CC3AC1">
              <w:rPr>
                <w:color w:val="000000"/>
              </w:rPr>
              <w:t>Assay</w:t>
            </w:r>
            <w:r w:rsidR="007F25D9" w:rsidRPr="007F25D9">
              <w:rPr>
                <w:color w:val="000000"/>
                <w:vertAlign w:val="superscript"/>
              </w:rPr>
              <w:t>c</w:t>
            </w:r>
            <w:proofErr w:type="spellEnd"/>
          </w:p>
        </w:tc>
      </w:tr>
      <w:tr w:rsidR="00FD5DA9" w:rsidRPr="00CC3AC1" w14:paraId="6CAB7EBB" w14:textId="77777777" w:rsidTr="00766A88">
        <w:trPr>
          <w:trHeight w:val="294"/>
        </w:trPr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9F065C" w14:textId="77777777" w:rsidR="00FD5DA9" w:rsidRPr="00CC3AC1" w:rsidRDefault="00FD5DA9" w:rsidP="00FD5DA9">
            <w:pPr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C3EBF0" w14:textId="77777777" w:rsidR="00FD5DA9" w:rsidRPr="00CC3AC1" w:rsidRDefault="00FD5DA9" w:rsidP="00FD5DA9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1B9BFC" w14:textId="77777777" w:rsidR="00FD5DA9" w:rsidRPr="00CC3AC1" w:rsidRDefault="00FD5DA9" w:rsidP="00FD5DA9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83BF694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Conventional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F6F520B" w14:textId="48C2EB0F" w:rsidR="00FD5DA9" w:rsidRPr="00D46B3C" w:rsidRDefault="007F25D9" w:rsidP="00FD5DA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Real-time </w:t>
            </w:r>
            <w:r w:rsidR="00FD5DA9" w:rsidRPr="00CC3AC1">
              <w:rPr>
                <w:color w:val="000000"/>
              </w:rPr>
              <w:t>PCR (</w:t>
            </w:r>
            <w:proofErr w:type="spellStart"/>
            <w:r w:rsidR="00FD5DA9" w:rsidRPr="00CC3AC1">
              <w:rPr>
                <w:color w:val="000000"/>
              </w:rPr>
              <w:t>Cq</w:t>
            </w:r>
            <w:proofErr w:type="spellEnd"/>
            <w:r w:rsidR="00FD5DA9" w:rsidRPr="00CC3AC1">
              <w:rPr>
                <w:color w:val="000000"/>
              </w:rPr>
              <w:t>)</w:t>
            </w:r>
          </w:p>
        </w:tc>
      </w:tr>
      <w:tr w:rsidR="00FD5DA9" w:rsidRPr="00CC3AC1" w14:paraId="1213554A" w14:textId="77777777" w:rsidTr="00766A88">
        <w:trPr>
          <w:trHeight w:val="302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D30" w14:textId="7F5420C0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HG 50</w:t>
            </w:r>
            <w:r>
              <w:rPr>
                <w:color w:val="000000"/>
              </w:rPr>
              <w:t>-1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6AA8" w14:textId="3974AFAA" w:rsidR="00FD5DA9" w:rsidRPr="00FD5DA9" w:rsidRDefault="00FD5DA9" w:rsidP="00FD5DA9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r w:rsidRPr="00CC3AC1">
              <w:rPr>
                <w:i/>
                <w:color w:val="000000"/>
              </w:rPr>
              <w:t>Pratylenchus</w:t>
            </w:r>
            <w:r>
              <w:rPr>
                <w:color w:val="000000"/>
              </w:rPr>
              <w:t xml:space="preserve"> sp.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F24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8B3619E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+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B10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29.87±0.5</w:t>
            </w:r>
          </w:p>
        </w:tc>
      </w:tr>
      <w:tr w:rsidR="00FD5DA9" w:rsidRPr="00CC3AC1" w14:paraId="5FC8FEB9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ABBAE82" w14:textId="1F5D896E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HG 50</w:t>
            </w:r>
            <w:r>
              <w:rPr>
                <w:color w:val="000000"/>
              </w:rPr>
              <w:t>-2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D2274A9" w14:textId="7D15D43F" w:rsidR="00FD5DA9" w:rsidRPr="00CC3AC1" w:rsidRDefault="00FD5DA9" w:rsidP="00FD5DA9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r w:rsidRPr="00CC3AC1">
              <w:rPr>
                <w:i/>
                <w:color w:val="000000"/>
              </w:rPr>
              <w:t>Pratylenchus</w:t>
            </w:r>
            <w:r>
              <w:rPr>
                <w:color w:val="000000"/>
              </w:rPr>
              <w:t xml:space="preserve"> sp.</w:t>
            </w:r>
            <w:r w:rsidRPr="00CC3AC1">
              <w:rPr>
                <w:i/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5608E4E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5440233F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+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B950AB8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27.6±0.2</w:t>
            </w:r>
          </w:p>
        </w:tc>
      </w:tr>
      <w:tr w:rsidR="00FD5DA9" w:rsidRPr="00CC3AC1" w14:paraId="566C758B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CE0DCCB" w14:textId="315546B2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HG 50</w:t>
            </w:r>
            <w:r>
              <w:rPr>
                <w:color w:val="000000"/>
              </w:rPr>
              <w:t>-3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9832C91" w14:textId="497C7850" w:rsidR="00FD5DA9" w:rsidRPr="00CC3AC1" w:rsidRDefault="00FD5DA9" w:rsidP="00FD5DA9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r w:rsidRPr="00CC3AC1">
              <w:rPr>
                <w:i/>
                <w:color w:val="000000"/>
              </w:rPr>
              <w:t>Pratylenchus</w:t>
            </w:r>
            <w:r>
              <w:rPr>
                <w:color w:val="000000"/>
              </w:rPr>
              <w:t xml:space="preserve"> sp.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2365F1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4</w:t>
            </w:r>
          </w:p>
        </w:tc>
        <w:tc>
          <w:tcPr>
            <w:tcW w:w="1800" w:type="dxa"/>
          </w:tcPr>
          <w:p w14:paraId="0F0AC670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+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B6B8224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26.43±0.05</w:t>
            </w:r>
          </w:p>
        </w:tc>
      </w:tr>
      <w:tr w:rsidR="00FD5DA9" w:rsidRPr="00CC3AC1" w14:paraId="04A7B352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9E646DE" w14:textId="3D27D6E5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HG 50</w:t>
            </w:r>
            <w:r>
              <w:rPr>
                <w:color w:val="000000"/>
              </w:rPr>
              <w:t>-4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2395F4F" w14:textId="47205F9E" w:rsidR="00FD5DA9" w:rsidRPr="00CC3AC1" w:rsidRDefault="00FD5DA9" w:rsidP="00FD5DA9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r w:rsidRPr="00CC3AC1">
              <w:rPr>
                <w:i/>
                <w:color w:val="000000"/>
              </w:rPr>
              <w:t>Pratylenchus</w:t>
            </w:r>
            <w:r>
              <w:rPr>
                <w:color w:val="000000"/>
              </w:rPr>
              <w:t xml:space="preserve"> sp.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954B7C6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321B003F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+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0E53825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28.91±0.4</w:t>
            </w:r>
          </w:p>
        </w:tc>
      </w:tr>
      <w:tr w:rsidR="00FD5DA9" w:rsidRPr="00CC3AC1" w14:paraId="41022B98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096F608" w14:textId="11E35493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HG 50</w:t>
            </w:r>
            <w:r>
              <w:rPr>
                <w:color w:val="000000"/>
              </w:rPr>
              <w:t>-5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A694EF3" w14:textId="2C08F4C0" w:rsidR="00FD5DA9" w:rsidRPr="00CC3AC1" w:rsidRDefault="00FD5DA9" w:rsidP="00FD5DA9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r w:rsidRPr="00CC3AC1">
              <w:rPr>
                <w:i/>
                <w:color w:val="000000"/>
              </w:rPr>
              <w:t>Pratylenchus</w:t>
            </w:r>
            <w:r>
              <w:rPr>
                <w:color w:val="000000"/>
              </w:rPr>
              <w:t xml:space="preserve"> sp.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D764E1B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2E9F2FBC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+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BF7158A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27.7 ± 0.1</w:t>
            </w:r>
          </w:p>
        </w:tc>
      </w:tr>
      <w:tr w:rsidR="00FD5DA9" w:rsidRPr="00CC3AC1" w14:paraId="406AB719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B4F459B" w14:textId="2B986786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HG 50</w:t>
            </w:r>
            <w:r>
              <w:rPr>
                <w:color w:val="000000"/>
              </w:rPr>
              <w:t>-6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B2E078C" w14:textId="174CA97C" w:rsidR="00FD5DA9" w:rsidRPr="00CC3AC1" w:rsidRDefault="00FD5DA9" w:rsidP="00FD5DA9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r w:rsidRPr="00CC3AC1">
              <w:rPr>
                <w:i/>
                <w:color w:val="000000"/>
              </w:rPr>
              <w:t>Pratylenchus</w:t>
            </w:r>
            <w:r>
              <w:rPr>
                <w:color w:val="000000"/>
              </w:rPr>
              <w:t xml:space="preserve"> sp.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AAEC51F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3DCD0802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+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DB91515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28.02±0.59</w:t>
            </w:r>
          </w:p>
        </w:tc>
      </w:tr>
      <w:tr w:rsidR="00FD5DA9" w:rsidRPr="00CC3AC1" w14:paraId="31241DA7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8FF0648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HG 51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AA0EDF1" w14:textId="7C178905" w:rsidR="00FD5DA9" w:rsidRPr="003A1D69" w:rsidRDefault="00FD5DA9" w:rsidP="00FD5DA9">
            <w:pPr>
              <w:rPr>
                <w:iCs/>
                <w:color w:val="000000"/>
              </w:rPr>
            </w:pPr>
            <w:r w:rsidRPr="00CC3AC1">
              <w:rPr>
                <w:i/>
                <w:color w:val="000000"/>
              </w:rPr>
              <w:t>Pratylenchus</w:t>
            </w:r>
            <w:r>
              <w:rPr>
                <w:i/>
                <w:color w:val="000000"/>
              </w:rPr>
              <w:t xml:space="preserve"> </w:t>
            </w:r>
            <w:r w:rsidRPr="00FD5DA9">
              <w:rPr>
                <w:color w:val="000000"/>
              </w:rPr>
              <w:t>s</w:t>
            </w:r>
            <w:r>
              <w:rPr>
                <w:iCs/>
                <w:color w:val="000000"/>
              </w:rPr>
              <w:t>p. ND 2016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6BE6936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11D72598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5C9FE0E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42751B45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1925CD8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Ps1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700A7C0" w14:textId="6DE05A5C" w:rsidR="00FD5DA9" w:rsidRPr="00CC3AC1" w:rsidRDefault="00FD5DA9" w:rsidP="00FD5DA9">
            <w:pPr>
              <w:rPr>
                <w:i/>
                <w:iCs/>
                <w:color w:val="000000"/>
              </w:rPr>
            </w:pPr>
            <w:r w:rsidRPr="00CC3AC1">
              <w:rPr>
                <w:i/>
                <w:iCs/>
                <w:color w:val="000000"/>
              </w:rPr>
              <w:t xml:space="preserve">P. </w:t>
            </w:r>
            <w:proofErr w:type="spellStart"/>
            <w:r>
              <w:rPr>
                <w:i/>
                <w:iCs/>
                <w:color w:val="000000"/>
              </w:rPr>
              <w:t>s</w:t>
            </w:r>
            <w:r w:rsidRPr="00CC3AC1">
              <w:rPr>
                <w:i/>
                <w:iCs/>
                <w:color w:val="000000"/>
              </w:rPr>
              <w:t>cribneri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261928B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543FCF0A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EF685BB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3995E0F9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1A3F2B8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Ps2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9A34FB7" w14:textId="3D5A2D52" w:rsidR="00FD5DA9" w:rsidRPr="00CC3AC1" w:rsidRDefault="00FD5DA9" w:rsidP="00FD5DA9">
            <w:pPr>
              <w:rPr>
                <w:i/>
                <w:iCs/>
                <w:color w:val="000000"/>
              </w:rPr>
            </w:pPr>
            <w:r w:rsidRPr="00CC3AC1">
              <w:rPr>
                <w:i/>
                <w:iCs/>
                <w:color w:val="000000"/>
              </w:rPr>
              <w:t xml:space="preserve">P. </w:t>
            </w:r>
            <w:proofErr w:type="spellStart"/>
            <w:r w:rsidR="00766A88">
              <w:rPr>
                <w:i/>
                <w:iCs/>
                <w:color w:val="000000"/>
              </w:rPr>
              <w:t>s</w:t>
            </w:r>
            <w:r w:rsidRPr="00CC3AC1">
              <w:rPr>
                <w:i/>
                <w:iCs/>
                <w:color w:val="000000"/>
              </w:rPr>
              <w:t>cribneri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59A8229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03803F42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A076AB7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6828437A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5E478EA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Pn1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8FF7548" w14:textId="77777777" w:rsidR="00FD5DA9" w:rsidRPr="00CC3AC1" w:rsidRDefault="00FD5DA9" w:rsidP="00FD5DA9">
            <w:pPr>
              <w:rPr>
                <w:i/>
                <w:color w:val="000000"/>
              </w:rPr>
            </w:pPr>
            <w:r w:rsidRPr="00CC3AC1">
              <w:rPr>
                <w:i/>
                <w:color w:val="000000"/>
              </w:rPr>
              <w:t>P. neglectus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14A9D24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167B2B13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E3025D6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679385BF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BB19D1F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Pn2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7E5AD7E" w14:textId="77777777" w:rsidR="00FD5DA9" w:rsidRPr="00CC3AC1" w:rsidRDefault="00FD5DA9" w:rsidP="00FD5DA9">
            <w:pPr>
              <w:rPr>
                <w:i/>
                <w:iCs/>
                <w:color w:val="000000"/>
              </w:rPr>
            </w:pPr>
            <w:r w:rsidRPr="00CC3AC1">
              <w:rPr>
                <w:i/>
                <w:iCs/>
                <w:color w:val="000000"/>
              </w:rPr>
              <w:t>P. neglectus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FB85D12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6ED74F75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5102620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44692123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17ECE59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Pt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8BEFDA2" w14:textId="77777777" w:rsidR="00FD5DA9" w:rsidRPr="00CC3AC1" w:rsidRDefault="00FD5DA9" w:rsidP="00FD5DA9">
            <w:pPr>
              <w:rPr>
                <w:i/>
                <w:color w:val="000000"/>
              </w:rPr>
            </w:pPr>
            <w:r w:rsidRPr="00CC3AC1">
              <w:rPr>
                <w:i/>
                <w:color w:val="000000"/>
              </w:rPr>
              <w:t xml:space="preserve">P. </w:t>
            </w:r>
            <w:proofErr w:type="spellStart"/>
            <w:r w:rsidRPr="00CC3AC1">
              <w:rPr>
                <w:i/>
                <w:color w:val="000000"/>
              </w:rPr>
              <w:t>thornei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D03036B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37A7046D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D619A4C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72E6305C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0291927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Pp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3B6B40E" w14:textId="77777777" w:rsidR="00FD5DA9" w:rsidRPr="00CC3AC1" w:rsidRDefault="00FD5DA9" w:rsidP="00FD5DA9">
            <w:pPr>
              <w:rPr>
                <w:i/>
                <w:color w:val="000000"/>
              </w:rPr>
            </w:pPr>
            <w:r w:rsidRPr="00CC3AC1">
              <w:rPr>
                <w:i/>
                <w:color w:val="000000"/>
              </w:rPr>
              <w:t xml:space="preserve">P. </w:t>
            </w:r>
            <w:proofErr w:type="spellStart"/>
            <w:r w:rsidRPr="00CC3AC1">
              <w:rPr>
                <w:i/>
                <w:color w:val="000000"/>
              </w:rPr>
              <w:t>penetrans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0736B56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46E9BCFA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0038A88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1536A04E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3DA3907" w14:textId="77777777" w:rsidR="00FD5DA9" w:rsidRPr="00CC3AC1" w:rsidRDefault="00FD5DA9" w:rsidP="00FD5DA9">
            <w:pPr>
              <w:rPr>
                <w:color w:val="000000"/>
              </w:rPr>
            </w:pPr>
            <w:proofErr w:type="spellStart"/>
            <w:r w:rsidRPr="00CC3AC1">
              <w:rPr>
                <w:color w:val="000000"/>
              </w:rPr>
              <w:t>Tyl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5CA81E8" w14:textId="75964C6C" w:rsidR="00FD5DA9" w:rsidRPr="00CC3AC1" w:rsidRDefault="00FD5DA9" w:rsidP="00FD5DA9">
            <w:pPr>
              <w:rPr>
                <w:color w:val="000000"/>
              </w:rPr>
            </w:pPr>
            <w:proofErr w:type="spellStart"/>
            <w:r w:rsidRPr="00CC3AC1">
              <w:rPr>
                <w:i/>
                <w:iCs/>
                <w:color w:val="000000"/>
              </w:rPr>
              <w:t>Tylenchorhy</w:t>
            </w:r>
            <w:r w:rsidR="00766A88">
              <w:rPr>
                <w:i/>
                <w:iCs/>
                <w:color w:val="000000"/>
              </w:rPr>
              <w:t>n</w:t>
            </w:r>
            <w:r w:rsidRPr="00CC3AC1">
              <w:rPr>
                <w:i/>
                <w:iCs/>
                <w:color w:val="000000"/>
              </w:rPr>
              <w:t>chus</w:t>
            </w:r>
            <w:proofErr w:type="spellEnd"/>
            <w:r w:rsidRPr="00CC3AC1">
              <w:rPr>
                <w:color w:val="000000"/>
              </w:rPr>
              <w:t xml:space="preserve"> sp.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4F24F92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3EE38E3F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AD4EA8B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137D3C0E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BB08096" w14:textId="77777777" w:rsidR="00FD5DA9" w:rsidRPr="00CC3AC1" w:rsidRDefault="00FD5DA9" w:rsidP="00FD5DA9">
            <w:pPr>
              <w:rPr>
                <w:color w:val="000000"/>
              </w:rPr>
            </w:pPr>
            <w:proofErr w:type="spellStart"/>
            <w:r w:rsidRPr="00CC3AC1">
              <w:rPr>
                <w:color w:val="000000"/>
              </w:rPr>
              <w:t>Spi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D41F9CB" w14:textId="77777777" w:rsidR="00FD5DA9" w:rsidRPr="00CC3AC1" w:rsidRDefault="00FD5DA9" w:rsidP="00FD5DA9">
            <w:pPr>
              <w:rPr>
                <w:color w:val="000000"/>
              </w:rPr>
            </w:pPr>
            <w:proofErr w:type="spellStart"/>
            <w:r w:rsidRPr="00CC3AC1">
              <w:rPr>
                <w:i/>
                <w:iCs/>
                <w:color w:val="000000"/>
              </w:rPr>
              <w:t>Helicotylenchus</w:t>
            </w:r>
            <w:proofErr w:type="spellEnd"/>
            <w:r w:rsidRPr="00CC3AC1">
              <w:rPr>
                <w:i/>
                <w:iCs/>
                <w:color w:val="000000"/>
              </w:rPr>
              <w:t xml:space="preserve"> </w:t>
            </w:r>
            <w:r w:rsidRPr="00CC3AC1">
              <w:rPr>
                <w:color w:val="000000"/>
              </w:rPr>
              <w:t>sp.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BDB868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605839AF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3A9C87D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60EDECE8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67593FE" w14:textId="77777777" w:rsidR="00FD5DA9" w:rsidRPr="00CC3AC1" w:rsidRDefault="00FD5DA9" w:rsidP="00FD5DA9">
            <w:pPr>
              <w:rPr>
                <w:color w:val="000000"/>
              </w:rPr>
            </w:pPr>
            <w:proofErr w:type="spellStart"/>
            <w:r w:rsidRPr="00CC3AC1">
              <w:rPr>
                <w:color w:val="000000"/>
              </w:rPr>
              <w:t>Xph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7BB45E0" w14:textId="77777777" w:rsidR="00FD5DA9" w:rsidRPr="00CC3AC1" w:rsidRDefault="00FD5DA9" w:rsidP="00FD5DA9">
            <w:pPr>
              <w:rPr>
                <w:color w:val="000000"/>
              </w:rPr>
            </w:pPr>
            <w:proofErr w:type="spellStart"/>
            <w:r w:rsidRPr="000D779B">
              <w:rPr>
                <w:i/>
                <w:color w:val="000000"/>
              </w:rPr>
              <w:t>Xiphinema</w:t>
            </w:r>
            <w:proofErr w:type="spellEnd"/>
            <w:r w:rsidRPr="00CC3AC1">
              <w:rPr>
                <w:color w:val="000000"/>
              </w:rPr>
              <w:t xml:space="preserve"> sp.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647AC1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75C60105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82224E3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7D2235E7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2A67552" w14:textId="77777777" w:rsidR="00FD5DA9" w:rsidRPr="00CC3AC1" w:rsidRDefault="00FD5DA9" w:rsidP="00FD5DA9">
            <w:pPr>
              <w:rPr>
                <w:color w:val="000000"/>
              </w:rPr>
            </w:pPr>
            <w:proofErr w:type="spellStart"/>
            <w:r w:rsidRPr="00CC3AC1">
              <w:rPr>
                <w:color w:val="000000"/>
              </w:rPr>
              <w:t>Prt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6EF99FC" w14:textId="77777777" w:rsidR="00FD5DA9" w:rsidRPr="00CC3AC1" w:rsidRDefault="00FD5DA9" w:rsidP="00FD5DA9">
            <w:pPr>
              <w:rPr>
                <w:iCs/>
                <w:color w:val="000000"/>
              </w:rPr>
            </w:pPr>
            <w:proofErr w:type="spellStart"/>
            <w:r w:rsidRPr="00CC3AC1">
              <w:rPr>
                <w:i/>
                <w:iCs/>
                <w:color w:val="000000"/>
              </w:rPr>
              <w:t>Paratylenchus</w:t>
            </w:r>
            <w:proofErr w:type="spellEnd"/>
            <w:r w:rsidRPr="00CC3AC1">
              <w:rPr>
                <w:i/>
                <w:iCs/>
                <w:color w:val="000000"/>
              </w:rPr>
              <w:t xml:space="preserve"> </w:t>
            </w:r>
            <w:r w:rsidRPr="00CC3AC1">
              <w:rPr>
                <w:iCs/>
                <w:color w:val="000000"/>
              </w:rPr>
              <w:t>sp.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9D7BDF3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649F06BD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3D27D6A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363F7ADF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47ADC6D" w14:textId="77777777" w:rsidR="00FD5DA9" w:rsidRPr="00CC3AC1" w:rsidRDefault="00FD5DA9" w:rsidP="00FD5DA9">
            <w:pPr>
              <w:rPr>
                <w:color w:val="000000"/>
              </w:rPr>
            </w:pPr>
            <w:proofErr w:type="spellStart"/>
            <w:r w:rsidRPr="00CC3AC1">
              <w:rPr>
                <w:color w:val="000000"/>
              </w:rPr>
              <w:t>Ptr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866FEAB" w14:textId="77777777" w:rsidR="00FD5DA9" w:rsidRPr="00CC3AC1" w:rsidRDefault="00FD5DA9" w:rsidP="00FD5DA9">
            <w:pPr>
              <w:rPr>
                <w:iCs/>
                <w:color w:val="000000"/>
              </w:rPr>
            </w:pPr>
            <w:proofErr w:type="spellStart"/>
            <w:r w:rsidRPr="00CC3AC1">
              <w:rPr>
                <w:i/>
                <w:iCs/>
                <w:color w:val="000000"/>
              </w:rPr>
              <w:t>Paratrichodorus</w:t>
            </w:r>
            <w:proofErr w:type="spellEnd"/>
            <w:r w:rsidRPr="00CC3AC1">
              <w:rPr>
                <w:i/>
                <w:iCs/>
                <w:color w:val="000000"/>
              </w:rPr>
              <w:t xml:space="preserve"> </w:t>
            </w:r>
            <w:r w:rsidRPr="00CC3AC1">
              <w:rPr>
                <w:iCs/>
                <w:color w:val="000000"/>
              </w:rPr>
              <w:t>sp.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877F6ED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3D48B771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9B23F9F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005453E9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C599B1F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Hop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4A0D37F" w14:textId="77777777" w:rsidR="00FD5DA9" w:rsidRPr="00CC3AC1" w:rsidRDefault="00FD5DA9" w:rsidP="00FD5DA9">
            <w:pPr>
              <w:rPr>
                <w:iCs/>
                <w:color w:val="000000"/>
              </w:rPr>
            </w:pPr>
            <w:proofErr w:type="spellStart"/>
            <w:r w:rsidRPr="00CC3AC1">
              <w:rPr>
                <w:i/>
                <w:iCs/>
                <w:color w:val="000000"/>
              </w:rPr>
              <w:t>Hoplolaimus</w:t>
            </w:r>
            <w:proofErr w:type="spellEnd"/>
            <w:r w:rsidRPr="00CC3AC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C3AC1">
              <w:rPr>
                <w:iCs/>
                <w:color w:val="000000"/>
              </w:rPr>
              <w:t>sp</w:t>
            </w:r>
            <w:proofErr w:type="spellEnd"/>
            <w:r w:rsidRPr="00CC3AC1">
              <w:rPr>
                <w:iCs/>
                <w:color w:val="000000"/>
              </w:rPr>
              <w:t>,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33A20B6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08059A7F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A04AC56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02569B08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E23BE01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SCN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C3CF438" w14:textId="77777777" w:rsidR="00FD5DA9" w:rsidRPr="00CC3AC1" w:rsidRDefault="00FD5DA9" w:rsidP="00FD5DA9">
            <w:pPr>
              <w:rPr>
                <w:i/>
                <w:iCs/>
                <w:color w:val="000000"/>
              </w:rPr>
            </w:pPr>
            <w:r w:rsidRPr="00CC3AC1">
              <w:rPr>
                <w:i/>
                <w:iCs/>
                <w:color w:val="000000"/>
              </w:rPr>
              <w:t>Heterodera glycines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A5CF4B4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7B245D4D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D1C50DA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2E36CE57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F864198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SBCN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C8F4D31" w14:textId="5071F44A" w:rsidR="00FD5DA9" w:rsidRPr="00CC3AC1" w:rsidRDefault="00FD5DA9" w:rsidP="00FD5DA9">
            <w:pPr>
              <w:rPr>
                <w:i/>
                <w:iCs/>
                <w:color w:val="000000"/>
              </w:rPr>
            </w:pPr>
            <w:r w:rsidRPr="00CC3AC1">
              <w:rPr>
                <w:i/>
                <w:iCs/>
                <w:color w:val="000000"/>
              </w:rPr>
              <w:t xml:space="preserve">H. </w:t>
            </w:r>
            <w:proofErr w:type="spellStart"/>
            <w:r w:rsidR="00766A88">
              <w:rPr>
                <w:i/>
                <w:iCs/>
              </w:rPr>
              <w:t>schachtii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07D4F29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32528AC6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3A28E38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4A96F0D4" w14:textId="77777777" w:rsidTr="00766A88">
        <w:trPr>
          <w:trHeight w:val="30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796AAD6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NPN1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A24954E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Non-plant parasitic nematode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1BA85D1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14:paraId="6BAC64C9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FA36643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  <w:tr w:rsidR="00FD5DA9" w:rsidRPr="00CC3AC1" w14:paraId="40C89AF0" w14:textId="77777777" w:rsidTr="00766A88">
        <w:trPr>
          <w:trHeight w:val="30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E2B7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NPN2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36F6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Non-plant parasitic nematode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D46" w14:textId="77777777" w:rsidR="00FD5DA9" w:rsidRPr="00CC3AC1" w:rsidRDefault="00FD5DA9" w:rsidP="00DD0E0B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C68BF5" w14:textId="77777777" w:rsidR="00FD5DA9" w:rsidRPr="00CC3AC1" w:rsidRDefault="00FD5DA9" w:rsidP="00FD5DA9">
            <w:pPr>
              <w:jc w:val="center"/>
              <w:rPr>
                <w:color w:val="000000"/>
              </w:rPr>
            </w:pPr>
            <w:r w:rsidRPr="00CC3AC1">
              <w:rPr>
                <w:color w:val="000000"/>
              </w:rPr>
              <w:t>-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14A4" w14:textId="77777777" w:rsidR="00FD5DA9" w:rsidRPr="00CC3AC1" w:rsidRDefault="00FD5DA9" w:rsidP="00FD5DA9">
            <w:pPr>
              <w:rPr>
                <w:color w:val="000000"/>
              </w:rPr>
            </w:pPr>
            <w:r w:rsidRPr="00CC3AC1">
              <w:rPr>
                <w:color w:val="000000"/>
              </w:rPr>
              <w:t>N/A</w:t>
            </w:r>
          </w:p>
        </w:tc>
      </w:tr>
    </w:tbl>
    <w:p w14:paraId="3B2221CA" w14:textId="60819E17" w:rsidR="00CC3AC1" w:rsidRPr="00CC3AC1" w:rsidRDefault="00CC3AC1" w:rsidP="004017AE">
      <w:pPr>
        <w:rPr>
          <w:bCs/>
          <w:vertAlign w:val="superscript"/>
        </w:rPr>
      </w:pPr>
    </w:p>
    <w:p w14:paraId="21638E08" w14:textId="6ABDBD80" w:rsidR="004017AE" w:rsidRDefault="00CC3AC1" w:rsidP="004017AE">
      <w:pPr>
        <w:rPr>
          <w:rFonts w:cstheme="minorHAnsi"/>
        </w:rPr>
      </w:pPr>
      <w:r>
        <w:rPr>
          <w:vertAlign w:val="superscript"/>
        </w:rPr>
        <w:t>a</w:t>
      </w:r>
      <w:r w:rsidRPr="00CC3AC1">
        <w:rPr>
          <w:rFonts w:cstheme="minorHAnsi"/>
        </w:rPr>
        <w:t xml:space="preserve"> </w:t>
      </w:r>
      <w:r w:rsidRPr="00B567CB">
        <w:rPr>
          <w:rFonts w:cstheme="minorHAnsi"/>
        </w:rPr>
        <w:t xml:space="preserve">DNA from </w:t>
      </w:r>
      <w:r w:rsidR="00DD0E0B">
        <w:rPr>
          <w:rFonts w:cstheme="minorHAnsi"/>
        </w:rPr>
        <w:t>six</w:t>
      </w:r>
      <w:r>
        <w:rPr>
          <w:rFonts w:cstheme="minorHAnsi"/>
        </w:rPr>
        <w:t xml:space="preserve"> different </w:t>
      </w:r>
      <w:r w:rsidRPr="00B567CB">
        <w:rPr>
          <w:rFonts w:cstheme="minorHAnsi"/>
        </w:rPr>
        <w:t>isolates of the target</w:t>
      </w:r>
      <w:r>
        <w:rPr>
          <w:rFonts w:cstheme="minorHAnsi"/>
        </w:rPr>
        <w:t xml:space="preserve"> root-lesion</w:t>
      </w:r>
      <w:r w:rsidRPr="00B567CB">
        <w:rPr>
          <w:rFonts w:cstheme="minorHAnsi"/>
        </w:rPr>
        <w:t xml:space="preserve"> species</w:t>
      </w:r>
      <w:r w:rsidR="00DD0E0B">
        <w:rPr>
          <w:rFonts w:cstheme="minorHAnsi"/>
        </w:rPr>
        <w:t>, five</w:t>
      </w:r>
      <w:r>
        <w:rPr>
          <w:rFonts w:cstheme="minorHAnsi"/>
        </w:rPr>
        <w:t xml:space="preserve"> </w:t>
      </w:r>
      <w:r w:rsidRPr="00B567CB">
        <w:rPr>
          <w:rFonts w:cstheme="minorHAnsi"/>
        </w:rPr>
        <w:t>other confirmed species of root-lesion nematode</w:t>
      </w:r>
      <w:r>
        <w:rPr>
          <w:rFonts w:cstheme="minorHAnsi"/>
        </w:rPr>
        <w:t>s</w:t>
      </w:r>
      <w:r w:rsidR="00DD0E0B">
        <w:rPr>
          <w:rFonts w:cstheme="minorHAnsi"/>
        </w:rPr>
        <w:t xml:space="preserve">, </w:t>
      </w:r>
      <w:r>
        <w:rPr>
          <w:rFonts w:cstheme="minorHAnsi"/>
        </w:rPr>
        <w:t>e</w:t>
      </w:r>
      <w:r w:rsidRPr="00B567CB">
        <w:rPr>
          <w:rFonts w:cstheme="minorHAnsi"/>
        </w:rPr>
        <w:t>ight other genera of plant-parasitic nematodes</w:t>
      </w:r>
      <w:r w:rsidR="00DD0E0B">
        <w:rPr>
          <w:rFonts w:cstheme="minorHAnsi"/>
        </w:rPr>
        <w:t>,</w:t>
      </w:r>
      <w:r w:rsidRPr="00B567CB">
        <w:rPr>
          <w:rFonts w:cstheme="minorHAnsi"/>
        </w:rPr>
        <w:t xml:space="preserve"> </w:t>
      </w:r>
      <w:r w:rsidR="006940D8">
        <w:rPr>
          <w:rFonts w:cstheme="minorHAnsi"/>
        </w:rPr>
        <w:t>and</w:t>
      </w:r>
      <w:r w:rsidRPr="00B567CB">
        <w:rPr>
          <w:rFonts w:cstheme="minorHAnsi"/>
        </w:rPr>
        <w:t xml:space="preserve"> two genera of non-plant parasitic nematodes.</w:t>
      </w:r>
    </w:p>
    <w:p w14:paraId="3EFB0C74" w14:textId="0896FCAA" w:rsidR="00B00046" w:rsidRDefault="004D31CC" w:rsidP="004017AE">
      <w:pPr>
        <w:rPr>
          <w:rFonts w:cstheme="minorHAnsi"/>
        </w:rPr>
      </w:pPr>
      <w:r>
        <w:rPr>
          <w:rFonts w:cstheme="minorHAnsi"/>
          <w:vertAlign w:val="superscript"/>
        </w:rPr>
        <w:t>b</w:t>
      </w:r>
      <w:r w:rsidR="00B00046">
        <w:rPr>
          <w:rFonts w:cstheme="minorHAnsi"/>
        </w:rPr>
        <w:t xml:space="preserve"> </w:t>
      </w:r>
      <w:proofErr w:type="gramStart"/>
      <w:r w:rsidR="00386D5A">
        <w:rPr>
          <w:rFonts w:cstheme="minorHAnsi"/>
        </w:rPr>
        <w:t>For</w:t>
      </w:r>
      <w:proofErr w:type="gramEnd"/>
      <w:r w:rsidR="00386D5A">
        <w:rPr>
          <w:rFonts w:cstheme="minorHAnsi"/>
        </w:rPr>
        <w:t xml:space="preserve"> the s</w:t>
      </w:r>
      <w:r w:rsidR="00B00046">
        <w:rPr>
          <w:rFonts w:cstheme="minorHAnsi"/>
        </w:rPr>
        <w:t>amples having the target root-lesion nematode</w:t>
      </w:r>
      <w:r w:rsidR="00893BAB">
        <w:rPr>
          <w:rFonts w:cstheme="minorHAnsi"/>
        </w:rPr>
        <w:t>,</w:t>
      </w:r>
      <w:r w:rsidR="00B00046">
        <w:rPr>
          <w:rFonts w:cstheme="minorHAnsi"/>
        </w:rPr>
        <w:t xml:space="preserve"> DNA was extracted from 1, 2 </w:t>
      </w:r>
      <w:r w:rsidR="00893BAB">
        <w:rPr>
          <w:rFonts w:cstheme="minorHAnsi"/>
        </w:rPr>
        <w:t>or</w:t>
      </w:r>
      <w:r w:rsidR="00B00046">
        <w:rPr>
          <w:rFonts w:cstheme="minorHAnsi"/>
        </w:rPr>
        <w:t xml:space="preserve"> 4 nematodes whereas for each of the samples</w:t>
      </w:r>
      <w:r w:rsidR="00893BAB">
        <w:rPr>
          <w:rFonts w:cstheme="minorHAnsi"/>
        </w:rPr>
        <w:t xml:space="preserve"> with non-target species</w:t>
      </w:r>
      <w:r w:rsidR="00B00046">
        <w:rPr>
          <w:rFonts w:cstheme="minorHAnsi"/>
        </w:rPr>
        <w:t xml:space="preserve">, DNA was extracted from 2 nematodes. </w:t>
      </w:r>
    </w:p>
    <w:p w14:paraId="0CFE50AE" w14:textId="5C7C4D01" w:rsidR="00D46B3C" w:rsidRPr="00D46B3C" w:rsidRDefault="004D31CC" w:rsidP="004017AE">
      <w:r>
        <w:rPr>
          <w:rFonts w:cstheme="minorHAnsi"/>
          <w:vertAlign w:val="superscript"/>
        </w:rPr>
        <w:t>c</w:t>
      </w:r>
      <w:r w:rsidR="00D46B3C">
        <w:rPr>
          <w:rFonts w:cstheme="minorHAnsi"/>
        </w:rPr>
        <w:t xml:space="preserve"> </w:t>
      </w:r>
      <w:proofErr w:type="gramStart"/>
      <w:r w:rsidR="007F25D9">
        <w:rPr>
          <w:rFonts w:cstheme="minorHAnsi"/>
        </w:rPr>
        <w:t>For</w:t>
      </w:r>
      <w:proofErr w:type="gramEnd"/>
      <w:r w:rsidR="007F25D9">
        <w:rPr>
          <w:rFonts w:cstheme="minorHAnsi"/>
        </w:rPr>
        <w:t xml:space="preserve"> conventional PCR, + = positive amplification and - = no amplification. For real-time PCR, q</w:t>
      </w:r>
      <w:r w:rsidR="00D46B3C">
        <w:rPr>
          <w:rFonts w:cstheme="minorHAnsi"/>
        </w:rPr>
        <w:t>uantification cycle (</w:t>
      </w:r>
      <w:proofErr w:type="spellStart"/>
      <w:r w:rsidR="00D46B3C">
        <w:rPr>
          <w:rFonts w:cstheme="minorHAnsi"/>
        </w:rPr>
        <w:t>Cq</w:t>
      </w:r>
      <w:proofErr w:type="spellEnd"/>
      <w:r w:rsidR="00D46B3C">
        <w:rPr>
          <w:rFonts w:cstheme="minorHAnsi"/>
        </w:rPr>
        <w:t xml:space="preserve">) value </w:t>
      </w:r>
      <w:r w:rsidR="007F25D9">
        <w:rPr>
          <w:rFonts w:cstheme="minorHAnsi"/>
        </w:rPr>
        <w:t>is</w:t>
      </w:r>
      <w:r w:rsidR="00D46B3C">
        <w:rPr>
          <w:rFonts w:cstheme="minorHAnsi"/>
        </w:rPr>
        <w:t xml:space="preserve"> presented as the mean </w:t>
      </w:r>
      <w:r w:rsidR="00D46B3C">
        <w:t>±</w:t>
      </w:r>
      <w:r w:rsidR="00D46B3C">
        <w:rPr>
          <w:rFonts w:cstheme="minorHAnsi"/>
        </w:rPr>
        <w:t xml:space="preserve"> standard deviation of three replicate</w:t>
      </w:r>
      <w:r w:rsidR="007F25D9">
        <w:rPr>
          <w:rFonts w:cstheme="minorHAnsi"/>
        </w:rPr>
        <w:t xml:space="preserve">s and </w:t>
      </w:r>
      <w:r w:rsidR="007F25D9" w:rsidRPr="00CC3AC1">
        <w:rPr>
          <w:color w:val="000000"/>
        </w:rPr>
        <w:t>N/A</w:t>
      </w:r>
      <w:r w:rsidR="007F25D9">
        <w:rPr>
          <w:color w:val="000000"/>
        </w:rPr>
        <w:t xml:space="preserve"> = not amplified</w:t>
      </w:r>
      <w:r w:rsidR="00D46B3C">
        <w:rPr>
          <w:rFonts w:cstheme="minorHAnsi"/>
        </w:rPr>
        <w:t>.</w:t>
      </w:r>
    </w:p>
    <w:p w14:paraId="034C7B30" w14:textId="220113A5" w:rsidR="004017AE" w:rsidRDefault="004017AE" w:rsidP="004017AE"/>
    <w:p w14:paraId="1E5B5EAF" w14:textId="324C2CD4" w:rsidR="00DD0E0B" w:rsidRDefault="00DD0E0B" w:rsidP="004017AE"/>
    <w:p w14:paraId="2F607EE8" w14:textId="23F16579" w:rsidR="00DD0E0B" w:rsidRDefault="00DD0E0B" w:rsidP="004017AE"/>
    <w:p w14:paraId="7ECE889A" w14:textId="545B7E3F" w:rsidR="00DD0E0B" w:rsidRDefault="00DD0E0B" w:rsidP="004017AE"/>
    <w:p w14:paraId="55070BEE" w14:textId="77777777" w:rsidR="00DD0E0B" w:rsidRDefault="00DD0E0B" w:rsidP="004017AE"/>
    <w:tbl>
      <w:tblPr>
        <w:tblpPr w:leftFromText="180" w:rightFromText="180" w:vertAnchor="text" w:horzAnchor="margin" w:tblpXSpec="center" w:tblpY="676"/>
        <w:tblW w:w="10290" w:type="dxa"/>
        <w:tblLayout w:type="fixed"/>
        <w:tblLook w:val="04A0" w:firstRow="1" w:lastRow="0" w:firstColumn="1" w:lastColumn="0" w:noHBand="0" w:noVBand="1"/>
      </w:tblPr>
      <w:tblGrid>
        <w:gridCol w:w="1530"/>
        <w:gridCol w:w="1590"/>
        <w:gridCol w:w="1110"/>
        <w:gridCol w:w="1260"/>
        <w:gridCol w:w="810"/>
        <w:gridCol w:w="990"/>
        <w:gridCol w:w="1260"/>
        <w:gridCol w:w="1740"/>
      </w:tblGrid>
      <w:tr w:rsidR="006C6704" w:rsidRPr="0006543C" w14:paraId="0828F3FC" w14:textId="77777777" w:rsidTr="00DB66CA">
        <w:trPr>
          <w:trHeight w:val="300"/>
        </w:trPr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2E1D" w14:textId="2D147171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lastRenderedPageBreak/>
              <w:t>Field</w:t>
            </w:r>
            <w:r>
              <w:rPr>
                <w:color w:val="000000"/>
                <w:sz w:val="22"/>
                <w:szCs w:val="22"/>
              </w:rPr>
              <w:t xml:space="preserve"> ID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2155" w14:textId="73F78329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 xml:space="preserve">County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D924B" w14:textId="29FDB950" w:rsidR="006C6704" w:rsidRPr="004B4895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06543C">
              <w:rPr>
                <w:color w:val="000000"/>
                <w:sz w:val="22"/>
                <w:szCs w:val="22"/>
              </w:rPr>
              <w:t xml:space="preserve">RLN/100 </w:t>
            </w:r>
            <w:r w:rsidR="0032517F">
              <w:rPr>
                <w:color w:val="000000"/>
                <w:sz w:val="22"/>
                <w:szCs w:val="22"/>
              </w:rPr>
              <w:t>cc</w:t>
            </w:r>
            <w:r w:rsidRPr="0006543C">
              <w:rPr>
                <w:color w:val="000000"/>
                <w:sz w:val="22"/>
                <w:szCs w:val="22"/>
              </w:rPr>
              <w:t xml:space="preserve"> of </w:t>
            </w:r>
            <w:proofErr w:type="spellStart"/>
            <w:r w:rsidR="0032517F">
              <w:rPr>
                <w:color w:val="000000"/>
                <w:sz w:val="22"/>
                <w:szCs w:val="22"/>
              </w:rPr>
              <w:t>s</w:t>
            </w:r>
            <w:r w:rsidRPr="0006543C">
              <w:rPr>
                <w:color w:val="000000"/>
                <w:sz w:val="22"/>
                <w:szCs w:val="22"/>
              </w:rPr>
              <w:t>oil</w:t>
            </w:r>
            <w:r w:rsidR="00FC575D">
              <w:rPr>
                <w:color w:val="000000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F22DF9" w14:textId="7F2AD528" w:rsidR="006C6704" w:rsidRPr="004B4895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6543C">
              <w:rPr>
                <w:color w:val="000000"/>
                <w:sz w:val="22"/>
                <w:szCs w:val="22"/>
              </w:rPr>
              <w:t>Conventional</w:t>
            </w:r>
            <w:r w:rsidR="00FC575D">
              <w:rPr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A846B" w14:textId="476A8E75" w:rsidR="006C6704" w:rsidRPr="0006543C" w:rsidRDefault="00FC575D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Real-time </w:t>
            </w:r>
            <w:r w:rsidR="006C6704" w:rsidRPr="0006543C">
              <w:rPr>
                <w:color w:val="000000"/>
                <w:sz w:val="22"/>
                <w:szCs w:val="22"/>
              </w:rPr>
              <w:t xml:space="preserve">PCR 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6EA58" w14:textId="7777777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Species Identity</w:t>
            </w:r>
          </w:p>
        </w:tc>
      </w:tr>
      <w:tr w:rsidR="006C6704" w:rsidRPr="0006543C" w14:paraId="75CE1B49" w14:textId="77777777" w:rsidTr="00DB66CA">
        <w:trPr>
          <w:trHeight w:val="600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24BF00" w14:textId="77777777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58E29" w14:textId="77777777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2BB45A" w14:textId="77777777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2CB65" w14:textId="7777777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bookmarkStart w:id="2" w:name="_Hlk44081266"/>
            <w:r w:rsidRPr="0006543C">
              <w:rPr>
                <w:color w:val="000000"/>
                <w:sz w:val="22"/>
                <w:szCs w:val="22"/>
              </w:rPr>
              <w:t xml:space="preserve">PNEG-F1/ D3B5 </w:t>
            </w:r>
            <w:bookmarkEnd w:id="2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1AE59" w14:textId="7777777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PsF7/PsR7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A38D8" w14:textId="0968031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ITS1F/ ITS1R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365E7" w14:textId="54E55DDD" w:rsidR="006C6704" w:rsidRPr="0081132E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vertAlign w:val="superscript"/>
              </w:rPr>
            </w:pPr>
            <w:r w:rsidRPr="0006543C">
              <w:rPr>
                <w:color w:val="000000"/>
                <w:sz w:val="22"/>
                <w:szCs w:val="22"/>
              </w:rPr>
              <w:t>ITS1F/</w:t>
            </w:r>
            <w:r w:rsidR="0032517F">
              <w:rPr>
                <w:color w:val="000000"/>
                <w:sz w:val="22"/>
                <w:szCs w:val="22"/>
              </w:rPr>
              <w:t>ITS1</w:t>
            </w:r>
            <w:r w:rsidRPr="0006543C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Cq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  <w:r w:rsidR="00FC575D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490191" w14:textId="77777777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C6704" w:rsidRPr="0006543C" w14:paraId="24444056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AEA2" w14:textId="3686CD17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366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3B00" w14:textId="67530A09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Grand Forks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DBF" w14:textId="72E6FC3C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2DB1" w14:textId="74E1A4E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E02E" w14:textId="2D024A9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085F" w14:textId="77F111B4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FF2D" w14:textId="3D163F8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32F2" w14:textId="36E2780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757D8063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F596" w14:textId="25658598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311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664C" w14:textId="5460A0EA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Nelson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40BD" w14:textId="113A654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EF1" w14:textId="5C04D99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8ACE" w14:textId="519AD66C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BFDA" w14:textId="4F17C5DE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DED2" w14:textId="77717D6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E2D9" w14:textId="197B4776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5CABDC12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42FC" w14:textId="771EAC8B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388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EF7F" w14:textId="3259C001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Grand Forks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893" w14:textId="65B8171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A649" w14:textId="33DC630D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1EA" w14:textId="68C3815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E38" w14:textId="0BF5847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0682" w14:textId="79DF509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A3F7" w14:textId="1334D8D4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0F546A1C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983A" w14:textId="5717E066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207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F1DD" w14:textId="40DE4580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Cass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801B" w14:textId="3B3F1ACF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56F6" w14:textId="7EBBB3F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FC54" w14:textId="7B5F70D4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D7A3" w14:textId="04AE5D28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801B" w14:textId="0107B696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3C70" w14:textId="77DCF43E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638141EB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6A59" w14:textId="06B3FBB0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Russ Field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6046" w14:textId="3D49B8ED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Wells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3924" w14:textId="7ADD25CA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0081" w14:textId="3E261D91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3A50" w14:textId="28F01A4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0D04" w14:textId="51E89A12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940" w14:textId="3057645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548C" w14:textId="50D6B84E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51409050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C403" w14:textId="5FE4F321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188 W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9187" w14:textId="515206FA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Cass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DD88" w14:textId="5483FDB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7D0E" w14:textId="5DEB9FB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2FA" w14:textId="3467B0EF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2FD5" w14:textId="38497358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F55E" w14:textId="074A80BD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DBB6" w14:textId="4C991ED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6BD558DB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2A93" w14:textId="2FADA3C3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188 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7E4" w14:textId="667DCC96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Cass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D00D" w14:textId="465FE9A8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3B5D" w14:textId="04830F3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6B46" w14:textId="73A040DC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4C72" w14:textId="26872B49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089" w14:textId="19672DEF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698E" w14:textId="6351A4B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3B15D8FA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B574" w14:textId="7BEB182F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310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D5AF" w14:textId="7EC6C382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Nelson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7D55" w14:textId="0AC81371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E8CA" w14:textId="358A6C28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F17" w14:textId="08CDDBF6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99CC" w14:textId="1F0FA7F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1C27" w14:textId="69842A2C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AD02" w14:textId="1827FC0A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030BB226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1F3" w14:textId="0D16B182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215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901" w14:textId="1EA2917E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Grand Forks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080C" w14:textId="68BFF30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716E" w14:textId="2EDF0FC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3DDD" w14:textId="0E866FC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03E6" w14:textId="1AB3723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8CBD" w14:textId="79D3EC66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DDA3" w14:textId="5646D892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717C752B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1FE9" w14:textId="517713CC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222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F36" w14:textId="0232D2DE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Cass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AD30" w14:textId="3B406EE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1B8" w14:textId="221A5BB4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F6A4" w14:textId="00F3D7CD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C2BB" w14:textId="1B0A9E5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288C" w14:textId="14C624BF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792" w14:textId="11B5002E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6657347E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D740" w14:textId="611EA3C6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A3A6" w14:textId="4ACF7695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Cass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F0FE" w14:textId="1F8987B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A5F" w14:textId="5F38E32A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6025" w14:textId="6D7006F4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8FD" w14:textId="6EEC248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4209" w14:textId="15C5D711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447C" w14:textId="477323CD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>P. neglectus</w:t>
            </w:r>
          </w:p>
        </w:tc>
      </w:tr>
      <w:tr w:rsidR="006C6704" w:rsidRPr="0006543C" w14:paraId="72AF3146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B1BF" w14:textId="28B3D54A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55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E1AF" w14:textId="17687131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Richland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D2BC" w14:textId="39E485A2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602B" w14:textId="5F71AB7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44B5" w14:textId="4D8011E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D3F5" w14:textId="3473208C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2FC0" w14:textId="077259C6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B91D" w14:textId="700F0054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06543C">
              <w:rPr>
                <w:i/>
                <w:iCs/>
                <w:color w:val="000000"/>
                <w:sz w:val="22"/>
                <w:szCs w:val="22"/>
              </w:rPr>
              <w:t>scribneri</w:t>
            </w:r>
            <w:proofErr w:type="spellEnd"/>
          </w:p>
        </w:tc>
      </w:tr>
      <w:tr w:rsidR="006C6704" w:rsidRPr="0006543C" w14:paraId="04351872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3CEC" w14:textId="4D0EF325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50 RL 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6640" w14:textId="5CC200B2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Richland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51FB" w14:textId="64AC14C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4E2" w14:textId="692403B6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4EC0" w14:textId="528DB09E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4FC" w14:textId="2012AB2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D7C" w14:textId="336D00B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EB5C" w14:textId="4A5DA45C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06543C">
              <w:rPr>
                <w:i/>
                <w:iCs/>
                <w:color w:val="000000"/>
                <w:sz w:val="22"/>
                <w:szCs w:val="22"/>
              </w:rPr>
              <w:t>scribneri</w:t>
            </w:r>
            <w:proofErr w:type="spellEnd"/>
          </w:p>
        </w:tc>
      </w:tr>
      <w:tr w:rsidR="006C6704" w:rsidRPr="0006543C" w14:paraId="7AFA0B56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6FBC" w14:textId="4B7E40C4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50 RL 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5AEE" w14:textId="308E4604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Richland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219F" w14:textId="5013FB91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9D56" w14:textId="7D93518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E83" w14:textId="2DE3FBE9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FB37" w14:textId="2DCCE5A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C96" w14:textId="20C7E78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0E01" w14:textId="7175151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06543C">
              <w:rPr>
                <w:i/>
                <w:iCs/>
                <w:color w:val="000000"/>
                <w:sz w:val="22"/>
                <w:szCs w:val="22"/>
              </w:rPr>
              <w:t>scribneri</w:t>
            </w:r>
            <w:proofErr w:type="spellEnd"/>
          </w:p>
        </w:tc>
      </w:tr>
      <w:tr w:rsidR="006C6704" w:rsidRPr="0006543C" w14:paraId="37D7810E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CD50" w14:textId="295273CE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50 RL 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D15" w14:textId="43417494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Richland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C88A" w14:textId="569C4EB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1DFE" w14:textId="230517C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542B" w14:textId="0CC89338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C69E" w14:textId="5CEBFF59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82CC" w14:textId="4CB47D92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BF6C" w14:textId="5E9A7B8D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06543C">
              <w:rPr>
                <w:i/>
                <w:iCs/>
                <w:color w:val="000000"/>
                <w:sz w:val="22"/>
                <w:szCs w:val="22"/>
              </w:rPr>
              <w:t>scribneri</w:t>
            </w:r>
            <w:proofErr w:type="spellEnd"/>
          </w:p>
        </w:tc>
      </w:tr>
      <w:tr w:rsidR="006C6704" w:rsidRPr="0006543C" w14:paraId="6D47B016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C25C" w14:textId="1CE800C9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C3L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E8BF" w14:textId="516310F2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Sargent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BE86" w14:textId="42D7F4E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2466" w14:textId="7CDEBD7E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3181" w14:textId="2E3705FC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CA2D" w14:textId="225D4164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EF8C" w14:textId="6401A5A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A77A" w14:textId="6FF3263D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06543C">
              <w:rPr>
                <w:i/>
                <w:iCs/>
                <w:color w:val="000000"/>
                <w:sz w:val="22"/>
                <w:szCs w:val="22"/>
              </w:rPr>
              <w:t>scribneri</w:t>
            </w:r>
            <w:proofErr w:type="spellEnd"/>
          </w:p>
        </w:tc>
      </w:tr>
      <w:tr w:rsidR="006C6704" w:rsidRPr="0006543C" w14:paraId="766C378C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21BE" w14:textId="7C808208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C14L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768C" w14:textId="1483FEC1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Dickey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94A8" w14:textId="37E1F992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A28F" w14:textId="1908CF2A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2442" w14:textId="5FC26576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EFC9" w14:textId="1170061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DCF1" w14:textId="2820D75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EB2F" w14:textId="07F16FD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06543C">
              <w:rPr>
                <w:i/>
                <w:iCs/>
                <w:color w:val="000000"/>
                <w:sz w:val="22"/>
                <w:szCs w:val="22"/>
              </w:rPr>
              <w:t>scribneri</w:t>
            </w:r>
            <w:proofErr w:type="spellEnd"/>
          </w:p>
        </w:tc>
      </w:tr>
      <w:tr w:rsidR="006C6704" w:rsidRPr="0006543C" w14:paraId="24031BE1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EF05" w14:textId="4AB24EC2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SCN 48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8D97" w14:textId="6A13FA2F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Richland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80BE" w14:textId="79CCE3C4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DD46" w14:textId="02922DAD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C7FC" w14:textId="39273C9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C445" w14:textId="3E0003AE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6DF8" w14:textId="2CB6F71A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BA4E" w14:textId="650B99E1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06543C">
              <w:rPr>
                <w:i/>
                <w:iCs/>
                <w:color w:val="000000"/>
                <w:sz w:val="22"/>
                <w:szCs w:val="22"/>
              </w:rPr>
              <w:t>scribneri</w:t>
            </w:r>
            <w:proofErr w:type="spellEnd"/>
          </w:p>
        </w:tc>
      </w:tr>
      <w:tr w:rsidR="006C6704" w:rsidRPr="0006543C" w14:paraId="5DC7BBB2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3C8A" w14:textId="75BFF51B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50 RL 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AFAB" w14:textId="5A0E1DFD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Richland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0CF7" w14:textId="4C2C2F5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0B09" w14:textId="49B523EC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5806" w14:textId="5AFFEDA6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804" w14:textId="4DF02EB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97E" w14:textId="353EA711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B9CD" w14:textId="5FAA8A9E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6543C">
              <w:rPr>
                <w:i/>
                <w:iCs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06543C">
              <w:rPr>
                <w:i/>
                <w:iCs/>
                <w:color w:val="000000"/>
                <w:sz w:val="22"/>
                <w:szCs w:val="22"/>
              </w:rPr>
              <w:t>scribneri</w:t>
            </w:r>
            <w:proofErr w:type="spellEnd"/>
          </w:p>
        </w:tc>
      </w:tr>
      <w:tr w:rsidR="006C6704" w:rsidRPr="0006543C" w14:paraId="3C42D6DA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DC7" w14:textId="602FE3AE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50 RL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0BC" w14:textId="733C36BB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Richland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D0E5" w14:textId="438F57AD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9770" w14:textId="7FBB21E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9102" w14:textId="74D7D5C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D417" w14:textId="46886DFA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5271" w14:textId="5FE3F593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27.4 ± 0.1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9BF6" w14:textId="681D728F" w:rsidR="006C6704" w:rsidRPr="006C6704" w:rsidRDefault="006C6704" w:rsidP="0006543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New</w:t>
            </w:r>
            <w:r w:rsidRPr="0006543C">
              <w:rPr>
                <w:i/>
                <w:iCs/>
                <w:color w:val="000000"/>
                <w:sz w:val="22"/>
                <w:szCs w:val="22"/>
              </w:rPr>
              <w:t xml:space="preserve"> Pra</w:t>
            </w:r>
            <w:r w:rsidR="00DB66CA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06543C">
              <w:rPr>
                <w:i/>
                <w:iCs/>
                <w:color w:val="000000"/>
                <w:sz w:val="22"/>
                <w:szCs w:val="22"/>
              </w:rPr>
              <w:t>ylenchus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sp.</w:t>
            </w:r>
          </w:p>
        </w:tc>
      </w:tr>
      <w:tr w:rsidR="006C6704" w:rsidRPr="0006543C" w14:paraId="49C9169E" w14:textId="77777777" w:rsidTr="00DB66CA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942A8" w14:textId="6EAC6FFD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HG 50 Field Soil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C290" w14:textId="53EEC4B2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Richland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AE1A2" w14:textId="42DBB262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DD17" w14:textId="0B1513F0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4A202" w14:textId="27D07F5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7FAB9" w14:textId="31037B7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A5670" w14:textId="47ECE92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6543C">
              <w:rPr>
                <w:color w:val="000000"/>
                <w:sz w:val="22"/>
                <w:szCs w:val="22"/>
              </w:rPr>
              <w:t>27.7 ± 0.1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2C841" w14:textId="4CC0CCC3" w:rsidR="006C6704" w:rsidRPr="00DB66CA" w:rsidRDefault="006C6704" w:rsidP="0006543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New</w:t>
            </w:r>
            <w:r w:rsidRPr="0006543C">
              <w:rPr>
                <w:i/>
                <w:iCs/>
                <w:color w:val="000000"/>
                <w:sz w:val="22"/>
                <w:szCs w:val="22"/>
              </w:rPr>
              <w:t xml:space="preserve"> Pra</w:t>
            </w:r>
            <w:r w:rsidR="00DB66CA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06543C">
              <w:rPr>
                <w:i/>
                <w:iCs/>
                <w:color w:val="000000"/>
                <w:sz w:val="22"/>
                <w:szCs w:val="22"/>
              </w:rPr>
              <w:t>ylenchus</w:t>
            </w:r>
            <w:r w:rsidR="00DB66C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B66CA">
              <w:rPr>
                <w:iCs/>
                <w:color w:val="000000"/>
                <w:sz w:val="22"/>
                <w:szCs w:val="22"/>
              </w:rPr>
              <w:t>sp.</w:t>
            </w:r>
          </w:p>
        </w:tc>
      </w:tr>
      <w:tr w:rsidR="006C6704" w:rsidRPr="0006543C" w14:paraId="4BF8F111" w14:textId="77777777" w:rsidTr="00DB66CA">
        <w:trPr>
          <w:trHeight w:val="125"/>
        </w:trPr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757D4C" w14:textId="16E46A0E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D35A5C" w14:textId="04E7FC49" w:rsidR="006C6704" w:rsidRPr="0006543C" w:rsidRDefault="006C6704" w:rsidP="0006543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3E484C" w14:textId="33F2CE7A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687362" w14:textId="3B653018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1F6665" w14:textId="421504C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A80AD6" w14:textId="2F935447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B4548F" w14:textId="6692FA25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1CE139" w14:textId="61110FAB" w:rsidR="006C6704" w:rsidRPr="0006543C" w:rsidRDefault="006C6704" w:rsidP="0006543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58E13BA" w14:textId="5CD8B68C" w:rsidR="006C6704" w:rsidRDefault="0006543C" w:rsidP="004017AE">
      <w:pPr>
        <w:rPr>
          <w:vertAlign w:val="superscript"/>
        </w:rPr>
      </w:pPr>
      <w:r>
        <w:rPr>
          <w:b/>
          <w:bCs/>
        </w:rPr>
        <w:t>Table 2</w:t>
      </w:r>
      <w:r w:rsidR="006C6704">
        <w:rPr>
          <w:b/>
          <w:bCs/>
        </w:rPr>
        <w:t>.</w:t>
      </w:r>
      <w:r>
        <w:rPr>
          <w:b/>
          <w:bCs/>
        </w:rPr>
        <w:t xml:space="preserve"> </w:t>
      </w:r>
      <w:r w:rsidR="00530441">
        <w:rPr>
          <w:b/>
          <w:bCs/>
        </w:rPr>
        <w:t xml:space="preserve"> </w:t>
      </w:r>
      <w:r w:rsidR="00530441">
        <w:t>Root-lesion nematodes collected from fields</w:t>
      </w:r>
      <w:r w:rsidR="006C6704">
        <w:t xml:space="preserve"> with soybean or a history of soybean </w:t>
      </w:r>
      <w:r w:rsidR="00530441">
        <w:t xml:space="preserve">in different locations in North Dakota used to test </w:t>
      </w:r>
      <w:r w:rsidR="006C6704">
        <w:t xml:space="preserve">the real-time PCR assay. </w:t>
      </w:r>
    </w:p>
    <w:p w14:paraId="03A7382C" w14:textId="23914E68" w:rsidR="004B4895" w:rsidRPr="004B4895" w:rsidRDefault="00FC575D" w:rsidP="004017AE">
      <w:r>
        <w:rPr>
          <w:vertAlign w:val="superscript"/>
        </w:rPr>
        <w:t>a</w:t>
      </w:r>
      <w:r w:rsidR="004B4895">
        <w:t xml:space="preserve"> Nematodes were extracted from soil samples using centrifugal sugar floatation method and the population density of root</w:t>
      </w:r>
      <w:r w:rsidR="009148D4">
        <w:t>-</w:t>
      </w:r>
      <w:r w:rsidR="004B4895">
        <w:t xml:space="preserve">lesion nematode was determined under a microscope based on their morphology.  </w:t>
      </w:r>
    </w:p>
    <w:p w14:paraId="0E2F0C43" w14:textId="7DBEEB50" w:rsidR="0006543C" w:rsidRDefault="00FC575D" w:rsidP="004017AE">
      <w:r>
        <w:rPr>
          <w:vertAlign w:val="superscript"/>
        </w:rPr>
        <w:t>b</w:t>
      </w:r>
      <w:r w:rsidR="004B4895">
        <w:t xml:space="preserve"> Species-specific primers </w:t>
      </w:r>
      <w:r w:rsidR="000D779B">
        <w:t>used for</w:t>
      </w:r>
      <w:r w:rsidR="004B4895">
        <w:t xml:space="preserve"> conventional PCR specific to </w:t>
      </w:r>
      <w:r w:rsidR="004B4895">
        <w:rPr>
          <w:i/>
          <w:iCs/>
        </w:rPr>
        <w:t>Pratylenchus neglectus</w:t>
      </w:r>
      <w:r w:rsidR="00B9796A">
        <w:rPr>
          <w:i/>
          <w:iCs/>
        </w:rPr>
        <w:t xml:space="preserve"> </w:t>
      </w:r>
      <w:r w:rsidR="00B9796A">
        <w:t>(</w:t>
      </w:r>
      <w:r w:rsidR="00B9796A" w:rsidRPr="0006543C">
        <w:rPr>
          <w:color w:val="000000"/>
          <w:sz w:val="22"/>
          <w:szCs w:val="22"/>
        </w:rPr>
        <w:t>PNEG-F1/ D3B5</w:t>
      </w:r>
      <w:r w:rsidR="00B9796A">
        <w:rPr>
          <w:color w:val="000000"/>
          <w:sz w:val="22"/>
          <w:szCs w:val="22"/>
        </w:rPr>
        <w:t>)</w:t>
      </w:r>
      <w:r w:rsidR="004B4895" w:rsidRPr="004B4895">
        <w:t xml:space="preserve">, </w:t>
      </w:r>
      <w:r w:rsidR="004B4895">
        <w:rPr>
          <w:i/>
          <w:iCs/>
        </w:rPr>
        <w:t>P</w:t>
      </w:r>
      <w:r w:rsidR="0081132E">
        <w:rPr>
          <w:i/>
          <w:iCs/>
        </w:rPr>
        <w:t>.</w:t>
      </w:r>
      <w:r w:rsidR="004B4895">
        <w:rPr>
          <w:i/>
          <w:iCs/>
        </w:rPr>
        <w:t xml:space="preserve"> </w:t>
      </w:r>
      <w:proofErr w:type="spellStart"/>
      <w:r w:rsidR="004B4895">
        <w:rPr>
          <w:i/>
          <w:iCs/>
        </w:rPr>
        <w:t>scribneri</w:t>
      </w:r>
      <w:proofErr w:type="spellEnd"/>
      <w:r w:rsidR="00B9796A">
        <w:rPr>
          <w:i/>
          <w:iCs/>
        </w:rPr>
        <w:t xml:space="preserve"> </w:t>
      </w:r>
      <w:r w:rsidR="00B9796A">
        <w:t>(</w:t>
      </w:r>
      <w:r w:rsidR="00B9796A" w:rsidRPr="0006543C">
        <w:rPr>
          <w:color w:val="000000"/>
          <w:sz w:val="22"/>
          <w:szCs w:val="22"/>
        </w:rPr>
        <w:t>PsF7/PsR7</w:t>
      </w:r>
      <w:r w:rsidR="00B9796A">
        <w:rPr>
          <w:color w:val="000000"/>
          <w:sz w:val="22"/>
          <w:szCs w:val="22"/>
        </w:rPr>
        <w:t>)</w:t>
      </w:r>
      <w:r w:rsidR="004B4895">
        <w:t xml:space="preserve">, </w:t>
      </w:r>
      <w:r w:rsidR="00B9796A">
        <w:t xml:space="preserve">and the </w:t>
      </w:r>
      <w:r>
        <w:t xml:space="preserve">target new </w:t>
      </w:r>
      <w:r w:rsidR="00B9796A">
        <w:t xml:space="preserve">species of root-lesion nematode (ITS1F/ITS1R). </w:t>
      </w:r>
    </w:p>
    <w:p w14:paraId="71571437" w14:textId="328F808C" w:rsidR="0081132E" w:rsidRPr="00D46B3C" w:rsidRDefault="00FC575D" w:rsidP="0081132E">
      <w:r>
        <w:rPr>
          <w:vertAlign w:val="superscript"/>
        </w:rPr>
        <w:t>c</w:t>
      </w:r>
      <w:r w:rsidR="0081132E" w:rsidRPr="0081132E">
        <w:rPr>
          <w:rFonts w:cstheme="minorHAnsi"/>
        </w:rPr>
        <w:t xml:space="preserve"> </w:t>
      </w:r>
      <w:r w:rsidR="0081132E">
        <w:rPr>
          <w:rFonts w:cstheme="minorHAnsi"/>
        </w:rPr>
        <w:t>Quantification cycle (</w:t>
      </w:r>
      <w:proofErr w:type="spellStart"/>
      <w:r w:rsidR="0081132E">
        <w:rPr>
          <w:rFonts w:cstheme="minorHAnsi"/>
        </w:rPr>
        <w:t>Cq</w:t>
      </w:r>
      <w:proofErr w:type="spellEnd"/>
      <w:r w:rsidR="0081132E">
        <w:rPr>
          <w:rFonts w:cstheme="minorHAnsi"/>
        </w:rPr>
        <w:t xml:space="preserve">) value </w:t>
      </w:r>
      <w:r>
        <w:rPr>
          <w:rFonts w:cstheme="minorHAnsi"/>
        </w:rPr>
        <w:t>for the real-time PCR assay is</w:t>
      </w:r>
      <w:r w:rsidR="0081132E">
        <w:rPr>
          <w:rFonts w:cstheme="minorHAnsi"/>
        </w:rPr>
        <w:t xml:space="preserve"> presented as the mean </w:t>
      </w:r>
      <w:r w:rsidR="0081132E">
        <w:t>±</w:t>
      </w:r>
      <w:r w:rsidR="0081132E">
        <w:rPr>
          <w:rFonts w:cstheme="minorHAnsi"/>
        </w:rPr>
        <w:t xml:space="preserve"> standard deviation of three replicate</w:t>
      </w:r>
      <w:r>
        <w:rPr>
          <w:rFonts w:cstheme="minorHAnsi"/>
        </w:rPr>
        <w:t xml:space="preserve">s, and </w:t>
      </w:r>
      <w:r w:rsidRPr="00CC3AC1">
        <w:rPr>
          <w:color w:val="000000"/>
        </w:rPr>
        <w:t>N/A</w:t>
      </w:r>
      <w:r>
        <w:rPr>
          <w:color w:val="000000"/>
        </w:rPr>
        <w:t xml:space="preserve"> = not amplified.</w:t>
      </w:r>
    </w:p>
    <w:p w14:paraId="4ABC8F63" w14:textId="77777777" w:rsidR="0006543C" w:rsidRPr="00CC3AC1" w:rsidRDefault="0006543C" w:rsidP="004017AE"/>
    <w:p w14:paraId="2E79118F" w14:textId="468139A7" w:rsidR="000628F2" w:rsidRDefault="00386D5A">
      <w:r>
        <w:rPr>
          <w:noProof/>
        </w:rPr>
        <w:lastRenderedPageBreak/>
        <w:drawing>
          <wp:inline distT="0" distB="0" distL="0" distR="0" wp14:anchorId="668D9EC9" wp14:editId="5F10B166">
            <wp:extent cx="5200650" cy="256222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F3F8A38-C9A0-4053-98FE-6B54DDE4F0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99C8B9" w14:textId="77777777" w:rsidR="007F68C2" w:rsidRDefault="007F68C2" w:rsidP="00524133">
      <w:pPr>
        <w:rPr>
          <w:b/>
          <w:bCs/>
        </w:rPr>
      </w:pPr>
    </w:p>
    <w:p w14:paraId="2A029550" w14:textId="6B116DF2" w:rsidR="00524133" w:rsidRDefault="00386D5A" w:rsidP="00524133">
      <w:r w:rsidRPr="005D2080">
        <w:rPr>
          <w:b/>
          <w:bCs/>
        </w:rPr>
        <w:t>Fig</w:t>
      </w:r>
      <w:r w:rsidR="00723F8B" w:rsidRPr="005D2080">
        <w:rPr>
          <w:b/>
          <w:bCs/>
        </w:rPr>
        <w:t>ure 1.</w:t>
      </w:r>
      <w:r w:rsidR="00723F8B">
        <w:t xml:space="preserve"> </w:t>
      </w:r>
      <w:r w:rsidR="001F26E4" w:rsidRPr="001306B3">
        <w:t>Standard curve of the real-time PCR assay with high amplification efficiency (E</w:t>
      </w:r>
      <w:r w:rsidR="001F26E4">
        <w:t>)</w:t>
      </w:r>
      <w:r w:rsidR="001F26E4" w:rsidRPr="001306B3">
        <w:t xml:space="preserve"> and strong correlation (R²) between quantification cycle values from real-time PCR </w:t>
      </w:r>
      <w:r w:rsidR="001F26E4">
        <w:t xml:space="preserve">(y-axis) </w:t>
      </w:r>
      <w:r w:rsidR="001F26E4" w:rsidRPr="001306B3">
        <w:t>and log values of the nematode numbers</w:t>
      </w:r>
      <w:r w:rsidR="001F26E4">
        <w:t xml:space="preserve"> (x-axis)</w:t>
      </w:r>
      <w:r w:rsidR="001F26E4">
        <w:t>.</w:t>
      </w:r>
    </w:p>
    <w:p w14:paraId="1696A186" w14:textId="1FD82260" w:rsidR="00905A2E" w:rsidRDefault="00905A2E"/>
    <w:p w14:paraId="41AB8ED9" w14:textId="77777777" w:rsidR="00B9561C" w:rsidRDefault="00B9561C"/>
    <w:p w14:paraId="51C1C9B2" w14:textId="3167DD82" w:rsidR="00B9561C" w:rsidRDefault="00B9561C">
      <w:pPr>
        <w:rPr>
          <w:b/>
          <w:bCs/>
        </w:rPr>
      </w:pPr>
    </w:p>
    <w:p w14:paraId="0F7E6A74" w14:textId="08CF8FBC" w:rsidR="00B9561C" w:rsidRDefault="00B9561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0CFEAB" wp14:editId="60115836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4867275" cy="2933700"/>
            <wp:effectExtent l="0" t="0" r="9525" b="0"/>
            <wp:wrapThrough wrapText="bothSides">
              <wp:wrapPolygon edited="0">
                <wp:start x="0" y="0"/>
                <wp:lineTo x="0" y="21460"/>
                <wp:lineTo x="21558" y="21460"/>
                <wp:lineTo x="21558" y="0"/>
                <wp:lineTo x="0" y="0"/>
              </wp:wrapPolygon>
            </wp:wrapThrough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C54FD03-B8ED-40AD-A5A4-FE6967CA7F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C54FD03-B8ED-40AD-A5A4-FE6967CA7FCE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AD56B" w14:textId="77777777" w:rsidR="00B9561C" w:rsidRDefault="00B9561C">
      <w:pPr>
        <w:rPr>
          <w:b/>
          <w:bCs/>
        </w:rPr>
      </w:pPr>
    </w:p>
    <w:p w14:paraId="517CA8BA" w14:textId="77777777" w:rsidR="00B9561C" w:rsidRDefault="00B9561C">
      <w:pPr>
        <w:rPr>
          <w:b/>
          <w:bCs/>
        </w:rPr>
      </w:pPr>
    </w:p>
    <w:p w14:paraId="61A70F66" w14:textId="77777777" w:rsidR="00B9561C" w:rsidRDefault="00B9561C">
      <w:pPr>
        <w:rPr>
          <w:b/>
          <w:bCs/>
        </w:rPr>
      </w:pPr>
    </w:p>
    <w:p w14:paraId="55ED75A3" w14:textId="77777777" w:rsidR="00B9561C" w:rsidRDefault="00B9561C">
      <w:pPr>
        <w:rPr>
          <w:b/>
          <w:bCs/>
        </w:rPr>
      </w:pPr>
    </w:p>
    <w:p w14:paraId="12F28761" w14:textId="77777777" w:rsidR="00B9561C" w:rsidRDefault="00B9561C">
      <w:pPr>
        <w:rPr>
          <w:b/>
          <w:bCs/>
        </w:rPr>
      </w:pPr>
    </w:p>
    <w:p w14:paraId="291FA5B8" w14:textId="77777777" w:rsidR="00B9561C" w:rsidRDefault="00B9561C">
      <w:pPr>
        <w:rPr>
          <w:b/>
          <w:bCs/>
        </w:rPr>
      </w:pPr>
    </w:p>
    <w:p w14:paraId="37F871BC" w14:textId="77777777" w:rsidR="00B9561C" w:rsidRDefault="00B9561C">
      <w:pPr>
        <w:rPr>
          <w:b/>
          <w:bCs/>
        </w:rPr>
      </w:pPr>
    </w:p>
    <w:p w14:paraId="395E59CA" w14:textId="77777777" w:rsidR="00B9561C" w:rsidRDefault="00B9561C">
      <w:pPr>
        <w:rPr>
          <w:b/>
          <w:bCs/>
        </w:rPr>
      </w:pPr>
    </w:p>
    <w:p w14:paraId="779E9D58" w14:textId="77777777" w:rsidR="00B9561C" w:rsidRDefault="00B9561C">
      <w:pPr>
        <w:rPr>
          <w:b/>
          <w:bCs/>
        </w:rPr>
      </w:pPr>
    </w:p>
    <w:p w14:paraId="2B886455" w14:textId="77777777" w:rsidR="00B9561C" w:rsidRDefault="00B9561C">
      <w:pPr>
        <w:rPr>
          <w:b/>
          <w:bCs/>
        </w:rPr>
      </w:pPr>
    </w:p>
    <w:p w14:paraId="3ABF50BC" w14:textId="77777777" w:rsidR="00B9561C" w:rsidRDefault="00B9561C">
      <w:pPr>
        <w:rPr>
          <w:b/>
          <w:bCs/>
        </w:rPr>
      </w:pPr>
    </w:p>
    <w:p w14:paraId="1B1DD12E" w14:textId="77777777" w:rsidR="00B9561C" w:rsidRDefault="00B9561C">
      <w:pPr>
        <w:rPr>
          <w:b/>
          <w:bCs/>
        </w:rPr>
      </w:pPr>
    </w:p>
    <w:p w14:paraId="15CEBBBE" w14:textId="77777777" w:rsidR="00B9561C" w:rsidRDefault="00B9561C">
      <w:pPr>
        <w:rPr>
          <w:b/>
          <w:bCs/>
        </w:rPr>
      </w:pPr>
    </w:p>
    <w:p w14:paraId="5BDCD993" w14:textId="77777777" w:rsidR="00B9561C" w:rsidRDefault="00B9561C">
      <w:pPr>
        <w:rPr>
          <w:b/>
          <w:bCs/>
        </w:rPr>
      </w:pPr>
    </w:p>
    <w:p w14:paraId="380B16F7" w14:textId="77777777" w:rsidR="00B9561C" w:rsidRDefault="00B9561C">
      <w:pPr>
        <w:rPr>
          <w:b/>
          <w:bCs/>
        </w:rPr>
      </w:pPr>
    </w:p>
    <w:p w14:paraId="78FE0FE1" w14:textId="77777777" w:rsidR="00B9561C" w:rsidRDefault="00B9561C">
      <w:pPr>
        <w:rPr>
          <w:b/>
          <w:bCs/>
        </w:rPr>
      </w:pPr>
    </w:p>
    <w:p w14:paraId="2811BD11" w14:textId="77777777" w:rsidR="00B9561C" w:rsidRDefault="00B9561C">
      <w:pPr>
        <w:rPr>
          <w:b/>
          <w:bCs/>
        </w:rPr>
      </w:pPr>
    </w:p>
    <w:p w14:paraId="0CEDB417" w14:textId="724DC02E" w:rsidR="008E4E4F" w:rsidRDefault="005D2080">
      <w:r>
        <w:rPr>
          <w:b/>
          <w:bCs/>
        </w:rPr>
        <w:t xml:space="preserve">Figure 2. </w:t>
      </w:r>
      <w:r>
        <w:t>Melting curve</w:t>
      </w:r>
      <w:r w:rsidR="009148D4">
        <w:t>s</w:t>
      </w:r>
      <w:r>
        <w:t xml:space="preserve"> of the new root-lesion nematode species-specific amplicons with melting temperature at 81.5 °C</w:t>
      </w:r>
      <w:r w:rsidR="00B9561C">
        <w:t xml:space="preserve">, showing the specificity of the </w:t>
      </w:r>
      <w:r w:rsidR="001F26E4">
        <w:t xml:space="preserve">new </w:t>
      </w:r>
      <w:r w:rsidR="00B9561C">
        <w:t>primer</w:t>
      </w:r>
      <w:r w:rsidR="009148D4">
        <w:t>s</w:t>
      </w:r>
      <w:r w:rsidR="00B9561C">
        <w:t xml:space="preserve"> designed</w:t>
      </w:r>
      <w:r>
        <w:t>.</w:t>
      </w:r>
    </w:p>
    <w:p w14:paraId="5E7A8F09" w14:textId="77777777" w:rsidR="00B9561C" w:rsidRPr="005D2080" w:rsidRDefault="00B9561C"/>
    <w:bookmarkStart w:id="3" w:name="_GoBack"/>
    <w:bookmarkEnd w:id="3"/>
    <w:p w14:paraId="3242FE3C" w14:textId="7EE90E3A" w:rsidR="00723F8B" w:rsidRDefault="00D50AB2">
      <w:r>
        <w:rPr>
          <w:i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24E08" wp14:editId="5D2D9B6A">
                <wp:simplePos x="0" y="0"/>
                <wp:positionH relativeFrom="column">
                  <wp:posOffset>4989830</wp:posOffset>
                </wp:positionH>
                <wp:positionV relativeFrom="paragraph">
                  <wp:posOffset>1085850</wp:posOffset>
                </wp:positionV>
                <wp:extent cx="715617" cy="0"/>
                <wp:effectExtent l="0" t="95250" r="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1561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A3C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92.9pt;margin-top:85.5pt;width:56.35pt;height:0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 w:rsidR="004C5AD2" w:rsidRPr="00C12ADA">
        <w:rPr>
          <w:iCs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1EF4C69" wp14:editId="32276EA3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5572125" cy="765810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A84E1" w14:textId="55995645" w:rsidR="00723F8B" w:rsidRDefault="00097B03">
      <w:r w:rsidRPr="004C5AD2">
        <w:rPr>
          <w:b/>
          <w:iCs/>
          <w:color w:val="000000"/>
          <w:shd w:val="clear" w:color="auto" w:fill="FFFFFF"/>
        </w:rPr>
        <w:t>Figure</w:t>
      </w:r>
      <w:r w:rsidR="004C5AD2" w:rsidRPr="004C5AD2">
        <w:rPr>
          <w:b/>
          <w:iCs/>
          <w:color w:val="000000"/>
          <w:shd w:val="clear" w:color="auto" w:fill="FFFFFF"/>
        </w:rPr>
        <w:t xml:space="preserve"> 3</w:t>
      </w:r>
      <w:r w:rsidRPr="004C5AD2">
        <w:rPr>
          <w:b/>
          <w:iCs/>
          <w:color w:val="000000"/>
          <w:shd w:val="clear" w:color="auto" w:fill="FFFFFF"/>
        </w:rPr>
        <w:t>.</w:t>
      </w:r>
      <w:r>
        <w:rPr>
          <w:iCs/>
          <w:color w:val="000000"/>
          <w:shd w:val="clear" w:color="auto" w:fill="FFFFFF"/>
        </w:rPr>
        <w:t xml:space="preserve"> Phylogenetic relationship of </w:t>
      </w:r>
      <w:r w:rsidR="009148D4">
        <w:rPr>
          <w:iCs/>
          <w:color w:val="000000"/>
          <w:shd w:val="clear" w:color="auto" w:fill="FFFFFF"/>
        </w:rPr>
        <w:t xml:space="preserve">the </w:t>
      </w:r>
      <w:r w:rsidR="004C5AD2">
        <w:rPr>
          <w:iCs/>
          <w:color w:val="000000"/>
          <w:shd w:val="clear" w:color="auto" w:fill="FFFFFF"/>
        </w:rPr>
        <w:t xml:space="preserve">new </w:t>
      </w:r>
      <w:r w:rsidRPr="00C258C7">
        <w:rPr>
          <w:i/>
          <w:iCs/>
          <w:color w:val="000000"/>
          <w:shd w:val="clear" w:color="auto" w:fill="FFFFFF"/>
        </w:rPr>
        <w:t xml:space="preserve">Pratylenchus </w:t>
      </w:r>
      <w:r w:rsidRPr="004C5AD2">
        <w:rPr>
          <w:iCs/>
          <w:color w:val="000000"/>
          <w:shd w:val="clear" w:color="auto" w:fill="FFFFFF"/>
        </w:rPr>
        <w:t>sp</w:t>
      </w:r>
      <w:r w:rsidRPr="00C258C7">
        <w:rPr>
          <w:i/>
          <w:iCs/>
          <w:color w:val="000000"/>
          <w:shd w:val="clear" w:color="auto" w:fill="FFFFFF"/>
        </w:rPr>
        <w:t>.</w:t>
      </w:r>
      <w:r>
        <w:rPr>
          <w:iCs/>
          <w:color w:val="000000"/>
          <w:shd w:val="clear" w:color="auto" w:fill="FFFFFF"/>
        </w:rPr>
        <w:t xml:space="preserve"> </w:t>
      </w:r>
      <w:r w:rsidR="004C5AD2">
        <w:rPr>
          <w:iCs/>
          <w:color w:val="000000"/>
          <w:shd w:val="clear" w:color="auto" w:fill="FFFFFF"/>
        </w:rPr>
        <w:t>(</w:t>
      </w:r>
      <w:r>
        <w:rPr>
          <w:iCs/>
          <w:color w:val="000000"/>
          <w:shd w:val="clear" w:color="auto" w:fill="FFFFFF"/>
        </w:rPr>
        <w:t>Hg50</w:t>
      </w:r>
      <w:r w:rsidR="004C5AD2">
        <w:rPr>
          <w:iCs/>
          <w:color w:val="000000"/>
          <w:shd w:val="clear" w:color="auto" w:fill="FFFFFF"/>
        </w:rPr>
        <w:t>)</w:t>
      </w:r>
      <w:r>
        <w:rPr>
          <w:iCs/>
          <w:color w:val="000000"/>
          <w:shd w:val="clear" w:color="auto" w:fill="FFFFFF"/>
        </w:rPr>
        <w:t xml:space="preserve"> </w:t>
      </w:r>
      <w:r w:rsidR="0053550F">
        <w:rPr>
          <w:iCs/>
          <w:color w:val="000000"/>
          <w:shd w:val="clear" w:color="auto" w:fill="FFFFFF"/>
        </w:rPr>
        <w:t>detected in a soybean field in North Dakota</w:t>
      </w:r>
      <w:r w:rsidR="0053550F">
        <w:rPr>
          <w:iCs/>
          <w:color w:val="000000"/>
          <w:shd w:val="clear" w:color="auto" w:fill="FFFFFF"/>
        </w:rPr>
        <w:t xml:space="preserve"> (red arrow) </w:t>
      </w:r>
      <w:r>
        <w:rPr>
          <w:iCs/>
          <w:color w:val="000000"/>
          <w:shd w:val="clear" w:color="auto" w:fill="FFFFFF"/>
        </w:rPr>
        <w:t xml:space="preserve">with </w:t>
      </w:r>
      <w:r w:rsidR="00DB6E4A">
        <w:rPr>
          <w:iCs/>
          <w:color w:val="000000"/>
          <w:shd w:val="clear" w:color="auto" w:fill="FFFFFF"/>
        </w:rPr>
        <w:t>other</w:t>
      </w:r>
      <w:r>
        <w:rPr>
          <w:iCs/>
          <w:color w:val="000000"/>
          <w:shd w:val="clear" w:color="auto" w:fill="FFFFFF"/>
        </w:rPr>
        <w:t xml:space="preserve"> </w:t>
      </w:r>
      <w:proofErr w:type="spellStart"/>
      <w:r w:rsidRPr="0083537E">
        <w:rPr>
          <w:i/>
          <w:iCs/>
          <w:color w:val="000000"/>
          <w:shd w:val="clear" w:color="auto" w:fill="FFFFFF"/>
        </w:rPr>
        <w:t>Pratylenchus</w:t>
      </w:r>
      <w:proofErr w:type="spellEnd"/>
      <w:r>
        <w:rPr>
          <w:iCs/>
          <w:color w:val="000000"/>
          <w:shd w:val="clear" w:color="auto" w:fill="FFFFFF"/>
        </w:rPr>
        <w:t xml:space="preserve"> species based on </w:t>
      </w:r>
      <w:r w:rsidR="0053550F">
        <w:rPr>
          <w:iCs/>
          <w:color w:val="000000"/>
          <w:shd w:val="clear" w:color="auto" w:fill="FFFFFF"/>
        </w:rPr>
        <w:t>ITS</w:t>
      </w:r>
      <w:r w:rsidR="00DB6E4A">
        <w:rPr>
          <w:iCs/>
          <w:color w:val="000000"/>
          <w:shd w:val="clear" w:color="auto" w:fill="FFFFFF"/>
        </w:rPr>
        <w:t>-</w:t>
      </w:r>
      <w:r w:rsidR="0053550F">
        <w:rPr>
          <w:iCs/>
          <w:color w:val="000000"/>
          <w:shd w:val="clear" w:color="auto" w:fill="FFFFFF"/>
        </w:rPr>
        <w:t>rDNA</w:t>
      </w:r>
      <w:r w:rsidR="0053550F">
        <w:rPr>
          <w:iCs/>
          <w:color w:val="000000"/>
          <w:shd w:val="clear" w:color="auto" w:fill="FFFFFF"/>
        </w:rPr>
        <w:t xml:space="preserve">. </w:t>
      </w:r>
      <w:r w:rsidR="0053550F">
        <w:rPr>
          <w:iCs/>
          <w:color w:val="000000"/>
          <w:shd w:val="clear" w:color="auto" w:fill="FFFFFF"/>
        </w:rPr>
        <w:t xml:space="preserve"> </w:t>
      </w:r>
    </w:p>
    <w:sectPr w:rsidR="0072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A2"/>
    <w:rsid w:val="000147A1"/>
    <w:rsid w:val="000628F2"/>
    <w:rsid w:val="0006543C"/>
    <w:rsid w:val="00065C79"/>
    <w:rsid w:val="00094E5F"/>
    <w:rsid w:val="00097B03"/>
    <w:rsid w:val="000B3C46"/>
    <w:rsid w:val="000C7635"/>
    <w:rsid w:val="000D6F4D"/>
    <w:rsid w:val="000D779B"/>
    <w:rsid w:val="000F4AB7"/>
    <w:rsid w:val="001233B2"/>
    <w:rsid w:val="00140D6D"/>
    <w:rsid w:val="0014249A"/>
    <w:rsid w:val="001F26E4"/>
    <w:rsid w:val="0022184B"/>
    <w:rsid w:val="00281215"/>
    <w:rsid w:val="002D1D82"/>
    <w:rsid w:val="002E1DAF"/>
    <w:rsid w:val="0032517F"/>
    <w:rsid w:val="00386D5A"/>
    <w:rsid w:val="003911F2"/>
    <w:rsid w:val="003A1B7E"/>
    <w:rsid w:val="003A1D69"/>
    <w:rsid w:val="003C19E3"/>
    <w:rsid w:val="003C1BA2"/>
    <w:rsid w:val="003E7D1A"/>
    <w:rsid w:val="004017AE"/>
    <w:rsid w:val="0040593A"/>
    <w:rsid w:val="00411DEB"/>
    <w:rsid w:val="004948FB"/>
    <w:rsid w:val="004B4895"/>
    <w:rsid w:val="004B7479"/>
    <w:rsid w:val="004C2462"/>
    <w:rsid w:val="004C5AD2"/>
    <w:rsid w:val="004C5BAD"/>
    <w:rsid w:val="004C7078"/>
    <w:rsid w:val="004D31CC"/>
    <w:rsid w:val="004E76A4"/>
    <w:rsid w:val="00503C38"/>
    <w:rsid w:val="00524133"/>
    <w:rsid w:val="00530441"/>
    <w:rsid w:val="0053550F"/>
    <w:rsid w:val="005372F1"/>
    <w:rsid w:val="0054756B"/>
    <w:rsid w:val="005570EF"/>
    <w:rsid w:val="00571DAC"/>
    <w:rsid w:val="005C5B78"/>
    <w:rsid w:val="005D2080"/>
    <w:rsid w:val="00610089"/>
    <w:rsid w:val="0061139C"/>
    <w:rsid w:val="006514E2"/>
    <w:rsid w:val="00680D6D"/>
    <w:rsid w:val="006940D8"/>
    <w:rsid w:val="006A2EF5"/>
    <w:rsid w:val="006C2419"/>
    <w:rsid w:val="006C6704"/>
    <w:rsid w:val="00723F8B"/>
    <w:rsid w:val="00743DB2"/>
    <w:rsid w:val="00766A88"/>
    <w:rsid w:val="007720AE"/>
    <w:rsid w:val="00797671"/>
    <w:rsid w:val="007A3ED5"/>
    <w:rsid w:val="007F0013"/>
    <w:rsid w:val="007F04D9"/>
    <w:rsid w:val="007F25D9"/>
    <w:rsid w:val="007F68C2"/>
    <w:rsid w:val="0081132E"/>
    <w:rsid w:val="00851915"/>
    <w:rsid w:val="008613BF"/>
    <w:rsid w:val="00893BAB"/>
    <w:rsid w:val="00895FC8"/>
    <w:rsid w:val="008C2B90"/>
    <w:rsid w:val="008E4E4F"/>
    <w:rsid w:val="00905A2E"/>
    <w:rsid w:val="009148D4"/>
    <w:rsid w:val="009571C0"/>
    <w:rsid w:val="009D4EDC"/>
    <w:rsid w:val="00A13616"/>
    <w:rsid w:val="00A23605"/>
    <w:rsid w:val="00A73F3A"/>
    <w:rsid w:val="00AE3418"/>
    <w:rsid w:val="00B00046"/>
    <w:rsid w:val="00B40DDA"/>
    <w:rsid w:val="00B9561C"/>
    <w:rsid w:val="00B96572"/>
    <w:rsid w:val="00B9796A"/>
    <w:rsid w:val="00BA12A1"/>
    <w:rsid w:val="00BA4687"/>
    <w:rsid w:val="00BC18E2"/>
    <w:rsid w:val="00BF1E16"/>
    <w:rsid w:val="00C0713E"/>
    <w:rsid w:val="00C33360"/>
    <w:rsid w:val="00C33871"/>
    <w:rsid w:val="00C87F18"/>
    <w:rsid w:val="00C90062"/>
    <w:rsid w:val="00C971E4"/>
    <w:rsid w:val="00CC3AC1"/>
    <w:rsid w:val="00CD30B3"/>
    <w:rsid w:val="00CD7633"/>
    <w:rsid w:val="00CE245A"/>
    <w:rsid w:val="00D46B3C"/>
    <w:rsid w:val="00D50AB2"/>
    <w:rsid w:val="00D71ADB"/>
    <w:rsid w:val="00D854CF"/>
    <w:rsid w:val="00DB66CA"/>
    <w:rsid w:val="00DB6E4A"/>
    <w:rsid w:val="00DD0E0B"/>
    <w:rsid w:val="00DD5C3B"/>
    <w:rsid w:val="00DE4E64"/>
    <w:rsid w:val="00E01015"/>
    <w:rsid w:val="00E15E0D"/>
    <w:rsid w:val="00E325FA"/>
    <w:rsid w:val="00E41F5C"/>
    <w:rsid w:val="00EC389A"/>
    <w:rsid w:val="00F316A8"/>
    <w:rsid w:val="00FC575D"/>
    <w:rsid w:val="00FC6428"/>
    <w:rsid w:val="00FD5DA9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52B4"/>
  <w15:chartTrackingRefBased/>
  <w15:docId w15:val="{4AE90A4D-617A-414A-8085-CFA82EF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13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0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hyperlink" Target="https://en.wikipedia.org/wiki/Cytochrome_c_oxidase_subunit_I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dusbpos-my.sharepoint.com/personal/intiaz_chowdhury_ndus_edu/Documents/Graduate%20School/Primer%20root%20lesion%20soybean/Compilation%205.26.20/ITS%201%20standard%20curve%20with%20detection%20limi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ITS1F/ITS1R Standard Curve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8.2085958005249343E-2"/>
                  <c:y val="-0.3180788859725867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 baseline="0"/>
                      <a:t>y = -3.474x + 29.002</a:t>
                    </a:r>
                    <a:br>
                      <a:rPr lang="en-US" b="1" baseline="0"/>
                    </a:br>
                    <a:r>
                      <a:rPr lang="en-US" b="1" baseline="0"/>
                      <a:t>R² = 0.9467</a:t>
                    </a:r>
                  </a:p>
                  <a:p>
                    <a:pPr>
                      <a:defRPr/>
                    </a:pPr>
                    <a:r>
                      <a:rPr lang="en-US" b="1" baseline="0"/>
                      <a:t>E = 94.02%</a:t>
                    </a:r>
                    <a:endParaRPr lang="en-US" b="1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Sheet2!$D$2:$D$70</c:f>
              <c:numCache>
                <c:formatCode>General</c:formatCode>
                <c:ptCount val="69"/>
                <c:pt idx="0">
                  <c:v>0.6020599913279624</c:v>
                </c:pt>
                <c:pt idx="1">
                  <c:v>0.6020599913279624</c:v>
                </c:pt>
                <c:pt idx="2">
                  <c:v>0.6020599913279624</c:v>
                </c:pt>
                <c:pt idx="3">
                  <c:v>0.3010299956639812</c:v>
                </c:pt>
                <c:pt idx="4">
                  <c:v>0.3010299956639812</c:v>
                </c:pt>
                <c:pt idx="5">
                  <c:v>0.3010299956639812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-0.3010299956639812</c:v>
                </c:pt>
                <c:pt idx="10">
                  <c:v>-0.3010299956639812</c:v>
                </c:pt>
                <c:pt idx="11">
                  <c:v>-0.3010299956639812</c:v>
                </c:pt>
                <c:pt idx="12">
                  <c:v>-0.6020599913279624</c:v>
                </c:pt>
                <c:pt idx="13">
                  <c:v>-0.6020599913279624</c:v>
                </c:pt>
                <c:pt idx="14">
                  <c:v>-0.6020599913279624</c:v>
                </c:pt>
                <c:pt idx="15">
                  <c:v>-0.90308998699194354</c:v>
                </c:pt>
                <c:pt idx="16">
                  <c:v>-0.90308998699194354</c:v>
                </c:pt>
                <c:pt idx="17">
                  <c:v>-0.90308998699194354</c:v>
                </c:pt>
                <c:pt idx="18">
                  <c:v>-1.2041199826559248</c:v>
                </c:pt>
                <c:pt idx="19">
                  <c:v>-1.2041199826559248</c:v>
                </c:pt>
                <c:pt idx="20">
                  <c:v>-1.2041199826559248</c:v>
                </c:pt>
                <c:pt idx="21">
                  <c:v>-1.505149978319906</c:v>
                </c:pt>
                <c:pt idx="22">
                  <c:v>-1.505149978319906</c:v>
                </c:pt>
                <c:pt idx="23">
                  <c:v>0.6020599913279624</c:v>
                </c:pt>
                <c:pt idx="24">
                  <c:v>0.6020599913279624</c:v>
                </c:pt>
                <c:pt idx="25">
                  <c:v>0.6020599913279624</c:v>
                </c:pt>
                <c:pt idx="26">
                  <c:v>0.3010299956639812</c:v>
                </c:pt>
                <c:pt idx="27">
                  <c:v>0.3010299956639812</c:v>
                </c:pt>
                <c:pt idx="28">
                  <c:v>0.3010299956639812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-0.3010299956639812</c:v>
                </c:pt>
                <c:pt idx="33">
                  <c:v>-0.3010299956639812</c:v>
                </c:pt>
                <c:pt idx="34">
                  <c:v>-0.3010299956639812</c:v>
                </c:pt>
                <c:pt idx="35">
                  <c:v>-0.6020599913279624</c:v>
                </c:pt>
                <c:pt idx="36">
                  <c:v>-0.6020599913279624</c:v>
                </c:pt>
                <c:pt idx="37">
                  <c:v>-0.6020599913279624</c:v>
                </c:pt>
                <c:pt idx="38">
                  <c:v>-0.90308998699194354</c:v>
                </c:pt>
                <c:pt idx="39">
                  <c:v>-0.90308998699194354</c:v>
                </c:pt>
                <c:pt idx="40">
                  <c:v>-0.90308998699194354</c:v>
                </c:pt>
                <c:pt idx="41">
                  <c:v>-1.2041199826559248</c:v>
                </c:pt>
                <c:pt idx="42">
                  <c:v>-1.2041199826559248</c:v>
                </c:pt>
                <c:pt idx="43">
                  <c:v>-1.2041199826559248</c:v>
                </c:pt>
                <c:pt idx="44">
                  <c:v>-1.505149978319906</c:v>
                </c:pt>
                <c:pt idx="45">
                  <c:v>-1.505149978319906</c:v>
                </c:pt>
                <c:pt idx="46">
                  <c:v>0.6020599913279624</c:v>
                </c:pt>
                <c:pt idx="47">
                  <c:v>0.6020599913279624</c:v>
                </c:pt>
                <c:pt idx="48">
                  <c:v>0.6020599913279624</c:v>
                </c:pt>
                <c:pt idx="49">
                  <c:v>0.3010299956639812</c:v>
                </c:pt>
                <c:pt idx="50">
                  <c:v>0.3010299956639812</c:v>
                </c:pt>
                <c:pt idx="51">
                  <c:v>0.3010299956639812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-0.3010299956639812</c:v>
                </c:pt>
                <c:pt idx="56">
                  <c:v>-0.3010299956639812</c:v>
                </c:pt>
                <c:pt idx="57">
                  <c:v>-0.3010299956639812</c:v>
                </c:pt>
                <c:pt idx="58">
                  <c:v>-0.6020599913279624</c:v>
                </c:pt>
                <c:pt idx="59">
                  <c:v>-0.6020599913279624</c:v>
                </c:pt>
                <c:pt idx="60">
                  <c:v>-0.6020599913279624</c:v>
                </c:pt>
                <c:pt idx="61">
                  <c:v>-0.90308998699194354</c:v>
                </c:pt>
                <c:pt idx="62">
                  <c:v>-0.90308998699194354</c:v>
                </c:pt>
                <c:pt idx="63">
                  <c:v>-0.90308998699194354</c:v>
                </c:pt>
                <c:pt idx="64">
                  <c:v>-1.2041199826559248</c:v>
                </c:pt>
                <c:pt idx="65">
                  <c:v>-1.2041199826559248</c:v>
                </c:pt>
                <c:pt idx="66">
                  <c:v>-1.2041199826559248</c:v>
                </c:pt>
                <c:pt idx="67">
                  <c:v>-1.505149978319906</c:v>
                </c:pt>
                <c:pt idx="68">
                  <c:v>-1.505149978319906</c:v>
                </c:pt>
              </c:numCache>
            </c:numRef>
          </c:xVal>
          <c:yVal>
            <c:numRef>
              <c:f>Sheet2!$E$2:$E$70</c:f>
              <c:numCache>
                <c:formatCode>###0.00;\-###0.00</c:formatCode>
                <c:ptCount val="69"/>
                <c:pt idx="0">
                  <c:v>26.935575286218501</c:v>
                </c:pt>
                <c:pt idx="1">
                  <c:v>26.4253267362303</c:v>
                </c:pt>
                <c:pt idx="2">
                  <c:v>26.361109887028402</c:v>
                </c:pt>
                <c:pt idx="3">
                  <c:v>27.7027833794928</c:v>
                </c:pt>
                <c:pt idx="4">
                  <c:v>27.370232339094901</c:v>
                </c:pt>
                <c:pt idx="5">
                  <c:v>27.534665060261499</c:v>
                </c:pt>
                <c:pt idx="6">
                  <c:v>28.703357847857301</c:v>
                </c:pt>
                <c:pt idx="7">
                  <c:v>28.662312256244601</c:v>
                </c:pt>
                <c:pt idx="8">
                  <c:v>28.568969238767501</c:v>
                </c:pt>
                <c:pt idx="9">
                  <c:v>29.950340093786799</c:v>
                </c:pt>
                <c:pt idx="10">
                  <c:v>30.256635282179701</c:v>
                </c:pt>
                <c:pt idx="11">
                  <c:v>30.286977178339502</c:v>
                </c:pt>
                <c:pt idx="12">
                  <c:v>31.178849795036701</c:v>
                </c:pt>
                <c:pt idx="13">
                  <c:v>30.962338350420001</c:v>
                </c:pt>
                <c:pt idx="14">
                  <c:v>30.923433632314801</c:v>
                </c:pt>
                <c:pt idx="15">
                  <c:v>31.534822993129101</c:v>
                </c:pt>
                <c:pt idx="16">
                  <c:v>31.879114065450899</c:v>
                </c:pt>
                <c:pt idx="17">
                  <c:v>32.796625545667602</c:v>
                </c:pt>
                <c:pt idx="18">
                  <c:v>33.884596630601003</c:v>
                </c:pt>
                <c:pt idx="19">
                  <c:v>32.894408032775701</c:v>
                </c:pt>
                <c:pt idx="20">
                  <c:v>32.234413125455802</c:v>
                </c:pt>
                <c:pt idx="21">
                  <c:v>33.968792136271297</c:v>
                </c:pt>
                <c:pt idx="22">
                  <c:v>33.520000000000003</c:v>
                </c:pt>
                <c:pt idx="23">
                  <c:v>26.7968269161079</c:v>
                </c:pt>
                <c:pt idx="24">
                  <c:v>26.862774756422901</c:v>
                </c:pt>
                <c:pt idx="25">
                  <c:v>26.748098684991099</c:v>
                </c:pt>
                <c:pt idx="26">
                  <c:v>28.114802155896399</c:v>
                </c:pt>
                <c:pt idx="27">
                  <c:v>27.7465428579617</c:v>
                </c:pt>
                <c:pt idx="28">
                  <c:v>28.1687895192536</c:v>
                </c:pt>
                <c:pt idx="29">
                  <c:v>29.107754266991201</c:v>
                </c:pt>
                <c:pt idx="30">
                  <c:v>28.8185128794529</c:v>
                </c:pt>
                <c:pt idx="31">
                  <c:v>28.830185135892801</c:v>
                </c:pt>
                <c:pt idx="32">
                  <c:v>31.077248176135502</c:v>
                </c:pt>
                <c:pt idx="33">
                  <c:v>30.740540100540802</c:v>
                </c:pt>
                <c:pt idx="34">
                  <c:v>29.878951469856901</c:v>
                </c:pt>
                <c:pt idx="35">
                  <c:v>32.818246373543403</c:v>
                </c:pt>
                <c:pt idx="36">
                  <c:v>31.286204995878901</c:v>
                </c:pt>
                <c:pt idx="37">
                  <c:v>31.193995768332901</c:v>
                </c:pt>
                <c:pt idx="38">
                  <c:v>32.815139297534699</c:v>
                </c:pt>
                <c:pt idx="39">
                  <c:v>32.567729801616203</c:v>
                </c:pt>
                <c:pt idx="40">
                  <c:v>31.318231449769598</c:v>
                </c:pt>
                <c:pt idx="41">
                  <c:v>33.745762187446999</c:v>
                </c:pt>
                <c:pt idx="42">
                  <c:v>32.8870690554742</c:v>
                </c:pt>
                <c:pt idx="43">
                  <c:v>32.682499451509997</c:v>
                </c:pt>
                <c:pt idx="44">
                  <c:v>34.574009494691602</c:v>
                </c:pt>
                <c:pt idx="45">
                  <c:v>34.36</c:v>
                </c:pt>
                <c:pt idx="46">
                  <c:v>27.028101054458102</c:v>
                </c:pt>
                <c:pt idx="47">
                  <c:v>26.638227402364699</c:v>
                </c:pt>
                <c:pt idx="48">
                  <c:v>26.518372393331099</c:v>
                </c:pt>
                <c:pt idx="49">
                  <c:v>28.121145134553199</c:v>
                </c:pt>
                <c:pt idx="50">
                  <c:v>28.081694179024801</c:v>
                </c:pt>
                <c:pt idx="51">
                  <c:v>28.0162873623424</c:v>
                </c:pt>
                <c:pt idx="52">
                  <c:v>29.3661383404751</c:v>
                </c:pt>
                <c:pt idx="53">
                  <c:v>29.415095646728201</c:v>
                </c:pt>
                <c:pt idx="54">
                  <c:v>29.065666232127601</c:v>
                </c:pt>
                <c:pt idx="55">
                  <c:v>30.199628794642798</c:v>
                </c:pt>
                <c:pt idx="56">
                  <c:v>30.275933446686199</c:v>
                </c:pt>
                <c:pt idx="57">
                  <c:v>30.8715820469248</c:v>
                </c:pt>
                <c:pt idx="58">
                  <c:v>31.4401363066053</c:v>
                </c:pt>
                <c:pt idx="59">
                  <c:v>30.2953808230302</c:v>
                </c:pt>
                <c:pt idx="60">
                  <c:v>31.743948909397002</c:v>
                </c:pt>
                <c:pt idx="61">
                  <c:v>32.536958470617201</c:v>
                </c:pt>
                <c:pt idx="62">
                  <c:v>32.06534562937</c:v>
                </c:pt>
                <c:pt idx="63">
                  <c:v>33.200030946147898</c:v>
                </c:pt>
                <c:pt idx="64">
                  <c:v>33.558723285802401</c:v>
                </c:pt>
                <c:pt idx="65">
                  <c:v>33.798078138266199</c:v>
                </c:pt>
                <c:pt idx="66">
                  <c:v>31.634822993155801</c:v>
                </c:pt>
                <c:pt idx="67">
                  <c:v>32.597106565436</c:v>
                </c:pt>
                <c:pt idx="68">
                  <c:v>34.238152980710503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32C-4462-8843-36830FBA4C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0967983"/>
        <c:axId val="896660639"/>
      </c:scatterChart>
      <c:valAx>
        <c:axId val="9009679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660639"/>
        <c:crosses val="autoZero"/>
        <c:crossBetween val="midCat"/>
      </c:valAx>
      <c:valAx>
        <c:axId val="896660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.00;\-###0.0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096798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8" ma:contentTypeDescription="Create a new document." ma:contentTypeScope="" ma:versionID="2ca7daf12f6e1c13c0a9a0506ab270f0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f7baf9b63f291d006cdb5160c5a9685c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AF71A-3950-4C27-8E66-964DA8742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15436-85DC-4FE8-8D24-AC8BCE7DB4CA}">
  <ds:schemaRefs>
    <ds:schemaRef ds:uri="http://schemas.microsoft.com/office/2006/metadata/properties"/>
    <ds:schemaRef ds:uri="http://schemas.microsoft.com/office/infopath/2007/PartnerControls"/>
    <ds:schemaRef ds:uri="66659ddc-3c25-4d3e-b3b7-9890fca5266d"/>
  </ds:schemaRefs>
</ds:datastoreItem>
</file>

<file path=customXml/itemProps3.xml><?xml version="1.0" encoding="utf-8"?>
<ds:datastoreItem xmlns:ds="http://schemas.openxmlformats.org/officeDocument/2006/customXml" ds:itemID="{5B2BA048-9FEF-487A-BEBF-0A16B4412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 Chowdhury</dc:creator>
  <cp:keywords/>
  <dc:description/>
  <cp:lastModifiedBy>Guiping Yan</cp:lastModifiedBy>
  <cp:revision>2</cp:revision>
  <dcterms:created xsi:type="dcterms:W3CDTF">2020-06-29T16:33:00Z</dcterms:created>
  <dcterms:modified xsi:type="dcterms:W3CDTF">2020-06-29T16:33:00Z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