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3FC0" w14:textId="77777777" w:rsidR="007F5CD9" w:rsidRDefault="007F5CD9" w:rsidP="007F5CD9">
      <w:pPr>
        <w:spacing w:after="0" w:line="240" w:lineRule="auto"/>
        <w:jc w:val="right"/>
        <w:rPr>
          <w:rFonts w:ascii="Arial" w:hAnsi="Arial" w:cs="Arial"/>
          <w:color w:val="BB0000"/>
          <w:sz w:val="16"/>
          <w:szCs w:val="16"/>
        </w:rPr>
      </w:pPr>
      <w:r>
        <w:rPr>
          <w:noProof/>
        </w:rPr>
        <w:drawing>
          <wp:inline distT="0" distB="0" distL="0" distR="0" wp14:anchorId="7C1FB291" wp14:editId="6712554A">
            <wp:extent cx="3191830" cy="457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hioStateUniversity-2C-Horiz-PANT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8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5CD9">
        <w:rPr>
          <w:rFonts w:ascii="Arial" w:hAnsi="Arial" w:cs="Arial"/>
          <w:color w:val="BB0000"/>
          <w:sz w:val="16"/>
          <w:szCs w:val="16"/>
        </w:rPr>
        <w:t xml:space="preserve"> </w:t>
      </w:r>
      <w:r>
        <w:rPr>
          <w:rFonts w:ascii="Arial" w:hAnsi="Arial" w:cs="Arial"/>
          <w:color w:val="BB0000"/>
          <w:sz w:val="16"/>
          <w:szCs w:val="16"/>
        </w:rPr>
        <w:t>College of Food, Agricultural, and Environmental Sciences</w:t>
      </w:r>
    </w:p>
    <w:p w14:paraId="3FA77C25" w14:textId="77777777" w:rsidR="007F5CD9" w:rsidRDefault="007F5CD9" w:rsidP="007F5CD9">
      <w:pPr>
        <w:spacing w:after="0" w:line="240" w:lineRule="auto"/>
        <w:jc w:val="right"/>
        <w:rPr>
          <w:rFonts w:ascii="Arial" w:hAnsi="Arial" w:cs="Arial"/>
          <w:color w:val="BB0000"/>
          <w:sz w:val="16"/>
          <w:szCs w:val="16"/>
        </w:rPr>
      </w:pPr>
      <w:r>
        <w:rPr>
          <w:rFonts w:ascii="Arial" w:hAnsi="Arial" w:cs="Arial"/>
          <w:color w:val="BB0000"/>
          <w:sz w:val="16"/>
          <w:szCs w:val="16"/>
        </w:rPr>
        <w:t>Ohio Agricultural Research and Development Center</w:t>
      </w:r>
    </w:p>
    <w:p w14:paraId="175277A7" w14:textId="77777777" w:rsidR="007F5CD9" w:rsidRDefault="007F5CD9" w:rsidP="007F5CD9">
      <w:pPr>
        <w:spacing w:after="0" w:line="240" w:lineRule="auto"/>
        <w:jc w:val="right"/>
        <w:rPr>
          <w:rFonts w:ascii="Arial" w:hAnsi="Arial" w:cs="Arial"/>
          <w:color w:val="666666"/>
          <w:sz w:val="14"/>
          <w:szCs w:val="14"/>
        </w:rPr>
      </w:pPr>
    </w:p>
    <w:p w14:paraId="51C4FDD6" w14:textId="77777777" w:rsidR="007F5CD9" w:rsidRDefault="007F5CD9" w:rsidP="007F5CD9">
      <w:pPr>
        <w:spacing w:after="0" w:line="240" w:lineRule="auto"/>
        <w:jc w:val="right"/>
        <w:rPr>
          <w:rFonts w:ascii="Arial" w:hAnsi="Arial" w:cs="Arial"/>
          <w:color w:val="666666"/>
          <w:sz w:val="14"/>
          <w:szCs w:val="14"/>
        </w:rPr>
      </w:pPr>
      <w:r>
        <w:rPr>
          <w:rFonts w:ascii="Arial" w:hAnsi="Arial" w:cs="Arial"/>
          <w:color w:val="666666"/>
          <w:sz w:val="14"/>
          <w:szCs w:val="14"/>
        </w:rPr>
        <w:t>Department of Plant Pathology</w:t>
      </w:r>
    </w:p>
    <w:p w14:paraId="0D4ACF1D" w14:textId="77777777" w:rsidR="007F5CD9" w:rsidRDefault="007F5CD9" w:rsidP="007F5CD9">
      <w:pPr>
        <w:spacing w:after="0" w:line="240" w:lineRule="auto"/>
        <w:jc w:val="right"/>
        <w:rPr>
          <w:rFonts w:ascii="Arial" w:hAnsi="Arial" w:cs="Arial"/>
          <w:color w:val="666666"/>
          <w:sz w:val="14"/>
          <w:szCs w:val="14"/>
        </w:rPr>
      </w:pPr>
      <w:r>
        <w:rPr>
          <w:rFonts w:ascii="Arial" w:hAnsi="Arial" w:cs="Arial"/>
          <w:color w:val="666666"/>
          <w:sz w:val="14"/>
          <w:szCs w:val="14"/>
        </w:rPr>
        <w:t>Soybean Pathology Lab</w:t>
      </w:r>
    </w:p>
    <w:p w14:paraId="09F8533F" w14:textId="77777777" w:rsidR="007F5CD9" w:rsidRDefault="007F5CD9" w:rsidP="007F5CD9">
      <w:pPr>
        <w:spacing w:after="0" w:line="240" w:lineRule="auto"/>
        <w:jc w:val="right"/>
        <w:rPr>
          <w:rFonts w:ascii="Arial" w:hAnsi="Arial" w:cs="Arial"/>
          <w:color w:val="666666"/>
          <w:sz w:val="14"/>
          <w:szCs w:val="14"/>
        </w:rPr>
      </w:pPr>
      <w:r>
        <w:rPr>
          <w:rFonts w:ascii="Arial" w:hAnsi="Arial" w:cs="Arial"/>
          <w:color w:val="666666"/>
          <w:sz w:val="14"/>
          <w:szCs w:val="14"/>
        </w:rPr>
        <w:t>1680 Madison Avenue</w:t>
      </w:r>
    </w:p>
    <w:p w14:paraId="169E44D9" w14:textId="77777777" w:rsidR="007F5CD9" w:rsidRPr="00A73E7B" w:rsidRDefault="007F5CD9" w:rsidP="007F5CD9">
      <w:pPr>
        <w:spacing w:after="0" w:line="240" w:lineRule="auto"/>
        <w:jc w:val="right"/>
        <w:rPr>
          <w:rFonts w:ascii="Arial" w:hAnsi="Arial" w:cs="Arial"/>
          <w:color w:val="666666"/>
          <w:sz w:val="14"/>
          <w:szCs w:val="14"/>
        </w:rPr>
      </w:pPr>
      <w:r>
        <w:rPr>
          <w:rFonts w:ascii="Arial" w:hAnsi="Arial" w:cs="Arial"/>
          <w:color w:val="666666"/>
          <w:sz w:val="14"/>
          <w:szCs w:val="14"/>
        </w:rPr>
        <w:t>Wooster, OH  44691-4096</w:t>
      </w:r>
    </w:p>
    <w:p w14:paraId="50C3EBB5" w14:textId="77777777" w:rsidR="007F5CD9" w:rsidRPr="00A73E7B" w:rsidRDefault="007F5CD9" w:rsidP="007F5CD9">
      <w:pPr>
        <w:spacing w:after="0" w:line="240" w:lineRule="auto"/>
        <w:jc w:val="right"/>
        <w:rPr>
          <w:rFonts w:ascii="Arial" w:hAnsi="Arial" w:cs="Arial"/>
          <w:color w:val="666666"/>
          <w:sz w:val="14"/>
          <w:szCs w:val="14"/>
        </w:rPr>
      </w:pPr>
    </w:p>
    <w:p w14:paraId="07366569" w14:textId="639ACAA3" w:rsidR="007F5CD9" w:rsidRDefault="00C16D45">
      <w:pPr>
        <w:rPr>
          <w:b/>
        </w:rPr>
      </w:pPr>
      <w:r>
        <w:rPr>
          <w:b/>
        </w:rPr>
        <w:t>December</w:t>
      </w:r>
      <w:r w:rsidR="00487CB9">
        <w:rPr>
          <w:b/>
        </w:rPr>
        <w:t>, 2019</w:t>
      </w:r>
    </w:p>
    <w:p w14:paraId="4CDD1AC7" w14:textId="77777777" w:rsidR="00873472" w:rsidRDefault="00873472">
      <w:pPr>
        <w:rPr>
          <w:b/>
        </w:rPr>
      </w:pPr>
      <w:r>
        <w:rPr>
          <w:b/>
        </w:rPr>
        <w:t>SCN Coalition: Monitoring SCN populations in Ohio</w:t>
      </w:r>
    </w:p>
    <w:p w14:paraId="59590F85" w14:textId="77777777" w:rsidR="00873472" w:rsidRDefault="00873472">
      <w:pPr>
        <w:rPr>
          <w:b/>
        </w:rPr>
      </w:pPr>
      <w:r>
        <w:rPr>
          <w:b/>
        </w:rPr>
        <w:t>Project Number 19-R-25</w:t>
      </w:r>
    </w:p>
    <w:p w14:paraId="48B5493E" w14:textId="77777777" w:rsidR="007F5CD9" w:rsidRDefault="00487CB9">
      <w:pPr>
        <w:rPr>
          <w:b/>
        </w:rPr>
      </w:pPr>
      <w:r>
        <w:rPr>
          <w:b/>
        </w:rPr>
        <w:t>Dr. Anne Dorrance</w:t>
      </w:r>
    </w:p>
    <w:p w14:paraId="6DC7A6E3" w14:textId="77777777" w:rsidR="00487CB9" w:rsidRDefault="00487CB9">
      <w:pPr>
        <w:rPr>
          <w:b/>
        </w:rPr>
      </w:pPr>
      <w:r>
        <w:rPr>
          <w:b/>
        </w:rPr>
        <w:t>Tim (Zak) Ralston</w:t>
      </w:r>
    </w:p>
    <w:p w14:paraId="1F5A4ABA" w14:textId="77777777" w:rsidR="007F5CD9" w:rsidRDefault="007F5CD9">
      <w:pPr>
        <w:rPr>
          <w:b/>
        </w:rPr>
      </w:pPr>
    </w:p>
    <w:p w14:paraId="65F18993" w14:textId="77777777" w:rsidR="00794366" w:rsidRPr="00D31B12" w:rsidRDefault="00601845">
      <w:pPr>
        <w:rPr>
          <w:b/>
        </w:rPr>
      </w:pPr>
      <w:r w:rsidRPr="00D31B12">
        <w:rPr>
          <w:b/>
        </w:rPr>
        <w:t>Quarterly Report – SCN Coalition Sampling</w:t>
      </w:r>
    </w:p>
    <w:p w14:paraId="7E37BB98" w14:textId="77777777" w:rsidR="00930B9B" w:rsidRDefault="00930B9B" w:rsidP="00930B9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Monitor soybean cyst nematode populations in Ohio for the number of eggs/sample</w:t>
      </w:r>
    </w:p>
    <w:p w14:paraId="3B24A557" w14:textId="77777777" w:rsidR="00930B9B" w:rsidRPr="00D047FA" w:rsidRDefault="00930B9B" w:rsidP="00930B9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Determine which source of resistance for SCN, Peking or PI 88788, will be most effective across Ohio</w:t>
      </w:r>
    </w:p>
    <w:p w14:paraId="07E7BC79" w14:textId="77777777" w:rsidR="00930B9B" w:rsidRDefault="00930B9B" w:rsidP="00930B9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3DA7">
        <w:rPr>
          <w:sz w:val="24"/>
          <w:szCs w:val="24"/>
        </w:rPr>
        <w:t xml:space="preserve">Evaluate </w:t>
      </w:r>
      <w:r>
        <w:rPr>
          <w:sz w:val="24"/>
          <w:szCs w:val="24"/>
        </w:rPr>
        <w:t xml:space="preserve">additional </w:t>
      </w:r>
      <w:r w:rsidRPr="00043DA7">
        <w:rPr>
          <w:sz w:val="24"/>
          <w:szCs w:val="24"/>
        </w:rPr>
        <w:t xml:space="preserve">management practices that limit the impact of </w:t>
      </w:r>
      <w:r>
        <w:rPr>
          <w:sz w:val="24"/>
          <w:szCs w:val="24"/>
        </w:rPr>
        <w:t>soybean cyst nematode in Ohio</w:t>
      </w:r>
    </w:p>
    <w:p w14:paraId="60361478" w14:textId="77777777" w:rsidR="00601845" w:rsidRDefault="00601845"/>
    <w:p w14:paraId="15BC275F" w14:textId="51921636" w:rsidR="0006229E" w:rsidRDefault="00930B9B">
      <w:pPr>
        <w:rPr>
          <w:b/>
        </w:rPr>
      </w:pPr>
      <w:r w:rsidRPr="00D31B12">
        <w:rPr>
          <w:b/>
        </w:rPr>
        <w:t>Objective 1</w:t>
      </w:r>
      <w:r w:rsidR="0006229E">
        <w:rPr>
          <w:b/>
        </w:rPr>
        <w:t xml:space="preserve">. </w:t>
      </w:r>
      <w:r w:rsidR="00E05603">
        <w:rPr>
          <w:b/>
        </w:rPr>
        <w:t xml:space="preserve">We have </w:t>
      </w:r>
      <w:r w:rsidR="00216F7B">
        <w:rPr>
          <w:b/>
        </w:rPr>
        <w:t xml:space="preserve">received </w:t>
      </w:r>
      <w:r w:rsidR="00C16D45">
        <w:rPr>
          <w:b/>
        </w:rPr>
        <w:t>300</w:t>
      </w:r>
      <w:r w:rsidR="00E05603">
        <w:rPr>
          <w:b/>
        </w:rPr>
        <w:t xml:space="preserve"> samples </w:t>
      </w:r>
      <w:r w:rsidR="00216F7B">
        <w:rPr>
          <w:b/>
        </w:rPr>
        <w:t>during 2019</w:t>
      </w:r>
      <w:r w:rsidR="00E05603">
        <w:rPr>
          <w:b/>
        </w:rPr>
        <w:t xml:space="preserve"> to date</w:t>
      </w:r>
      <w:r w:rsidR="0006229E">
        <w:rPr>
          <w:b/>
        </w:rPr>
        <w:t>.</w:t>
      </w:r>
      <w:r w:rsidR="00323695">
        <w:rPr>
          <w:b/>
        </w:rPr>
        <w:t xml:space="preserve"> With another 16 in February</w:t>
      </w:r>
      <w:r w:rsidR="000B654A">
        <w:rPr>
          <w:b/>
        </w:rPr>
        <w:t>.</w:t>
      </w:r>
      <w:r w:rsidR="00323695">
        <w:rPr>
          <w:b/>
        </w:rPr>
        <w:t xml:space="preserve"> These are still pending so the numbers below have not changed.</w:t>
      </w:r>
    </w:p>
    <w:p w14:paraId="6E3F30F0" w14:textId="0E0392B2" w:rsidR="004F4907" w:rsidRDefault="004F4907"/>
    <w:tbl>
      <w:tblPr>
        <w:tblW w:w="7867" w:type="dxa"/>
        <w:tblLook w:val="04A0" w:firstRow="1" w:lastRow="0" w:firstColumn="1" w:lastColumn="0" w:noHBand="0" w:noVBand="1"/>
      </w:tblPr>
      <w:tblGrid>
        <w:gridCol w:w="2541"/>
        <w:gridCol w:w="1180"/>
        <w:gridCol w:w="1382"/>
        <w:gridCol w:w="1382"/>
        <w:gridCol w:w="1382"/>
      </w:tblGrid>
      <w:tr w:rsidR="000246C2" w:rsidRPr="00D31B12" w14:paraId="64DCF874" w14:textId="77777777" w:rsidTr="000246C2">
        <w:trPr>
          <w:trHeight w:val="28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7B1" w14:textId="77777777" w:rsidR="000246C2" w:rsidRDefault="000246C2" w:rsidP="00D3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1B12">
              <w:rPr>
                <w:rFonts w:ascii="Calibri" w:eastAsia="Times New Roman" w:hAnsi="Calibri" w:cs="Times New Roman"/>
                <w:color w:val="000000"/>
              </w:rPr>
              <w:t>SCN Population Level</w:t>
            </w:r>
          </w:p>
          <w:p w14:paraId="46A7B88F" w14:textId="77777777" w:rsidR="000246C2" w:rsidRPr="00D31B12" w:rsidRDefault="000246C2" w:rsidP="00D3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(eggs/100 cc)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15D3" w14:textId="77777777" w:rsidR="000246C2" w:rsidRDefault="000246C2" w:rsidP="00D3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1B12">
              <w:rPr>
                <w:rFonts w:ascii="Calibri" w:eastAsia="Times New Roman" w:hAnsi="Calibri" w:cs="Times New Roman"/>
                <w:color w:val="000000"/>
              </w:rPr>
              <w:t>Total fields</w:t>
            </w:r>
          </w:p>
          <w:p w14:paraId="20320B42" w14:textId="77777777" w:rsidR="000246C2" w:rsidRPr="00D31B12" w:rsidRDefault="000246C2" w:rsidP="00D3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A105" w14:textId="77777777" w:rsidR="000246C2" w:rsidRPr="00D31B12" w:rsidRDefault="000246C2" w:rsidP="00D3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1B12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  <w:r w:rsidRPr="00D31B12">
              <w:rPr>
                <w:rFonts w:ascii="Calibri" w:eastAsia="Times New Roman" w:hAnsi="Calibri" w:cs="Times New Roman"/>
                <w:color w:val="000000"/>
              </w:rPr>
              <w:t>processed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F94" w14:textId="556FBBC9" w:rsidR="008D1AC5" w:rsidRPr="00D31B12" w:rsidRDefault="000B654A" w:rsidP="00D3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fields in 2019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A48A" w14:textId="7318E297" w:rsidR="000246C2" w:rsidRPr="00D31B12" w:rsidRDefault="000B654A" w:rsidP="00D3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of total processed</w:t>
            </w:r>
          </w:p>
        </w:tc>
      </w:tr>
      <w:tr w:rsidR="000246C2" w:rsidRPr="00D31B12" w14:paraId="3C164A5A" w14:textId="77777777" w:rsidTr="000246C2">
        <w:trPr>
          <w:trHeight w:val="28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6E6F" w14:textId="77777777" w:rsidR="000246C2" w:rsidRPr="00D31B12" w:rsidRDefault="000246C2" w:rsidP="00D3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1B12">
              <w:rPr>
                <w:rFonts w:ascii="Calibri" w:eastAsia="Times New Roman" w:hAnsi="Calibri" w:cs="Times New Roman"/>
                <w:color w:val="000000"/>
              </w:rPr>
              <w:t>None Detected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4834" w14:textId="77777777" w:rsidR="000246C2" w:rsidRPr="00D31B12" w:rsidRDefault="000246C2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CF5B" w14:textId="77777777" w:rsidR="000246C2" w:rsidRPr="00D31B12" w:rsidRDefault="000246C2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8F13" w14:textId="2394444D" w:rsidR="00094C8E" w:rsidRDefault="000B654A" w:rsidP="00094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4DF" w14:textId="3B9A8AE7" w:rsidR="000246C2" w:rsidRDefault="000B654A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</w:tr>
      <w:tr w:rsidR="000246C2" w:rsidRPr="00D31B12" w14:paraId="5415287E" w14:textId="77777777" w:rsidTr="000246C2">
        <w:trPr>
          <w:trHeight w:val="28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2248" w14:textId="77777777" w:rsidR="000246C2" w:rsidRPr="00D31B12" w:rsidRDefault="000246C2" w:rsidP="00D3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1B12">
              <w:rPr>
                <w:rFonts w:ascii="Calibri" w:eastAsia="Times New Roman" w:hAnsi="Calibri" w:cs="Times New Roman"/>
                <w:color w:val="000000"/>
              </w:rPr>
              <w:t>Trace (40-200)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F7DA" w14:textId="77777777" w:rsidR="000246C2" w:rsidRPr="00D31B12" w:rsidRDefault="000246C2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3BE9" w14:textId="77777777" w:rsidR="000246C2" w:rsidRPr="00D31B12" w:rsidRDefault="000246C2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520E" w14:textId="32DE9DAB" w:rsidR="000246C2" w:rsidRDefault="000B654A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907" w14:textId="2D6CDC2B" w:rsidR="000246C2" w:rsidRDefault="000B654A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24.8</w:t>
            </w:r>
          </w:p>
        </w:tc>
      </w:tr>
      <w:tr w:rsidR="000246C2" w:rsidRPr="00D31B12" w14:paraId="7D3BAFD8" w14:textId="77777777" w:rsidTr="000246C2">
        <w:trPr>
          <w:trHeight w:val="28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59A4" w14:textId="77777777" w:rsidR="000246C2" w:rsidRPr="00D31B12" w:rsidRDefault="000246C2" w:rsidP="00D3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1B12">
              <w:rPr>
                <w:rFonts w:ascii="Calibri" w:eastAsia="Times New Roman" w:hAnsi="Calibri" w:cs="Times New Roman"/>
                <w:color w:val="000000"/>
              </w:rPr>
              <w:t>Low (200-2000)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EC9B0" w14:textId="77777777" w:rsidR="000246C2" w:rsidRPr="00D31B12" w:rsidRDefault="000246C2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27FF" w14:textId="77777777" w:rsidR="000246C2" w:rsidRPr="00D31B12" w:rsidRDefault="000246C2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148" w14:textId="18F40A26" w:rsidR="000246C2" w:rsidRDefault="000B654A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035C" w14:textId="239D7A7E" w:rsidR="000246C2" w:rsidRDefault="000B654A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12.6</w:t>
            </w:r>
          </w:p>
        </w:tc>
      </w:tr>
      <w:tr w:rsidR="000246C2" w:rsidRPr="00D31B12" w14:paraId="4C767AF7" w14:textId="77777777" w:rsidTr="000246C2">
        <w:trPr>
          <w:trHeight w:val="28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DFFC" w14:textId="77777777" w:rsidR="000246C2" w:rsidRPr="00D31B12" w:rsidRDefault="000246C2" w:rsidP="00D3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1B12">
              <w:rPr>
                <w:rFonts w:ascii="Calibri" w:eastAsia="Times New Roman" w:hAnsi="Calibri" w:cs="Times New Roman"/>
                <w:color w:val="000000"/>
              </w:rPr>
              <w:t>Moderate (2000-5000)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C3C1" w14:textId="77777777" w:rsidR="000246C2" w:rsidRPr="00D31B12" w:rsidRDefault="000246C2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8AAB" w14:textId="77777777" w:rsidR="000246C2" w:rsidRPr="00D31B12" w:rsidRDefault="000246C2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ADDE" w14:textId="6790C67F" w:rsidR="000246C2" w:rsidRDefault="000B654A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F21" w14:textId="1B2007EC" w:rsidR="000246C2" w:rsidRDefault="000B654A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</w:tr>
      <w:tr w:rsidR="000246C2" w:rsidRPr="00D31B12" w14:paraId="36486E11" w14:textId="77777777" w:rsidTr="000246C2">
        <w:trPr>
          <w:trHeight w:val="28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37BC" w14:textId="77777777" w:rsidR="000246C2" w:rsidRPr="00D31B12" w:rsidRDefault="000246C2" w:rsidP="00D3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1B12">
              <w:rPr>
                <w:rFonts w:ascii="Calibri" w:eastAsia="Times New Roman" w:hAnsi="Calibri" w:cs="Times New Roman"/>
                <w:color w:val="000000"/>
              </w:rPr>
              <w:t>High (5000 +)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179D" w14:textId="77777777" w:rsidR="000246C2" w:rsidRPr="00D31B12" w:rsidRDefault="000246C2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C6AA" w14:textId="77777777" w:rsidR="000246C2" w:rsidRPr="00D31B12" w:rsidRDefault="000246C2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F81" w14:textId="1EC9F2B3" w:rsidR="000246C2" w:rsidRDefault="000B654A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DFE1" w14:textId="1F47591E" w:rsidR="000246C2" w:rsidRDefault="000B654A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10.7</w:t>
            </w:r>
          </w:p>
        </w:tc>
      </w:tr>
      <w:tr w:rsidR="00F02B04" w:rsidRPr="00D31B12" w14:paraId="47129FDD" w14:textId="77777777" w:rsidTr="000246C2">
        <w:trPr>
          <w:trHeight w:val="28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B533" w14:textId="77D67A73" w:rsidR="00F02B04" w:rsidRPr="00D31B12" w:rsidRDefault="00F02B04" w:rsidP="00D3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4690" w14:textId="653C2345" w:rsidR="00F02B04" w:rsidRDefault="00F02B04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BE68" w14:textId="77777777" w:rsidR="00F02B04" w:rsidRDefault="00F02B04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692E" w14:textId="4EAFE4E4" w:rsidR="00F02B04" w:rsidRDefault="000B654A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BE6" w14:textId="77777777" w:rsidR="00F02B04" w:rsidRDefault="00F02B04" w:rsidP="0084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3B345EA" w14:textId="1F5D3107" w:rsidR="00D31B12" w:rsidRDefault="00D31B12"/>
    <w:p w14:paraId="552E8BD2" w14:textId="1CC12F53" w:rsidR="00447C87" w:rsidRDefault="00447C87">
      <w:r>
        <w:t xml:space="preserve">Preliminary take home messages </w:t>
      </w:r>
    </w:p>
    <w:p w14:paraId="3A41410B" w14:textId="101BCE6D" w:rsidR="00447C87" w:rsidRDefault="00447C87" w:rsidP="006F0DEA">
      <w:pPr>
        <w:pStyle w:val="ListParagraph"/>
        <w:numPr>
          <w:ilvl w:val="0"/>
          <w:numId w:val="5"/>
        </w:numPr>
      </w:pPr>
      <w:r>
        <w:t>60% of the Fields sampled in 2018 and 2019 in Ohio have detectable levels of SCN</w:t>
      </w:r>
    </w:p>
    <w:p w14:paraId="1DC59699" w14:textId="77777777" w:rsidR="000B654A" w:rsidRDefault="000B654A" w:rsidP="006F0DEA">
      <w:pPr>
        <w:pStyle w:val="ListParagraph"/>
        <w:numPr>
          <w:ilvl w:val="0"/>
          <w:numId w:val="5"/>
        </w:numPr>
      </w:pPr>
      <w:r>
        <w:t>3</w:t>
      </w:r>
      <w:r w:rsidR="00447C87">
        <w:t xml:space="preserve">5% of these have </w:t>
      </w:r>
      <w:r>
        <w:t xml:space="preserve">detectable </w:t>
      </w:r>
      <w:r w:rsidR="00447C87">
        <w:t xml:space="preserve">populations </w:t>
      </w:r>
      <w:r>
        <w:t>(&gt;200)</w:t>
      </w:r>
    </w:p>
    <w:p w14:paraId="76E14257" w14:textId="60A3BDC7" w:rsidR="00447C87" w:rsidRDefault="000B654A" w:rsidP="006F0DEA">
      <w:pPr>
        <w:pStyle w:val="ListParagraph"/>
        <w:numPr>
          <w:ilvl w:val="0"/>
          <w:numId w:val="5"/>
        </w:numPr>
      </w:pPr>
      <w:r>
        <w:t>16% were at economically damaging levels</w:t>
      </w:r>
      <w:r w:rsidR="00447C87">
        <w:t xml:space="preserve"> – do you know your number?</w:t>
      </w:r>
    </w:p>
    <w:p w14:paraId="00D2588E" w14:textId="209BE188" w:rsidR="00447C87" w:rsidRDefault="00447C87"/>
    <w:p w14:paraId="5F8DDD46" w14:textId="77777777" w:rsidR="00D31B12" w:rsidRDefault="00D31B12">
      <w:r w:rsidRPr="00D31B12">
        <w:rPr>
          <w:b/>
        </w:rPr>
        <w:t>Objective 2</w:t>
      </w:r>
      <w:r>
        <w:t>.</w:t>
      </w:r>
    </w:p>
    <w:p w14:paraId="606EBA44" w14:textId="77777777" w:rsidR="00455A37" w:rsidRDefault="00D31B12">
      <w:r>
        <w:t xml:space="preserve">The samples from objective 1 that have egg counts higher than 500 eggs/100 cc of soil will be moved into the greenhouse screen to determine the SCN type.  </w:t>
      </w:r>
      <w:r w:rsidR="00183038">
        <w:t xml:space="preserve">Populations of SCN will </w:t>
      </w:r>
      <w:r w:rsidR="003952E0">
        <w:t xml:space="preserve">first </w:t>
      </w:r>
      <w:r w:rsidR="00183038">
        <w:t>be increased on Williams 82.</w:t>
      </w:r>
      <w:r w:rsidR="000C4E7D">
        <w:t xml:space="preserve"> T</w:t>
      </w:r>
      <w:r w:rsidR="00183038">
        <w:t>est lines [</w:t>
      </w:r>
      <w:r w:rsidR="00183038" w:rsidRPr="00183038">
        <w:t>PI548402 (Peking)</w:t>
      </w:r>
      <w:r w:rsidR="00183038">
        <w:t xml:space="preserve">, </w:t>
      </w:r>
      <w:r w:rsidR="00183038" w:rsidRPr="00183038">
        <w:t>PI88788</w:t>
      </w:r>
      <w:r w:rsidR="000C4E7D">
        <w:t>, and PI437654] and positive controls (Lee74, Williams 82)</w:t>
      </w:r>
      <w:r w:rsidR="00183038">
        <w:t xml:space="preserve"> will be inoculated with 2500 </w:t>
      </w:r>
      <w:r w:rsidR="000C4E7D">
        <w:t xml:space="preserve">eggs/second stage juveniles to determine relative virulence. </w:t>
      </w:r>
    </w:p>
    <w:p w14:paraId="12ECBBDE" w14:textId="77777777" w:rsidR="00600CA5" w:rsidRDefault="00600CA5"/>
    <w:p w14:paraId="366E5B99" w14:textId="3C493A3F" w:rsidR="006F0DEA" w:rsidRDefault="0035153E">
      <w:r w:rsidRPr="006F0DEA">
        <w:t>Table 2. Completed SCN Type</w:t>
      </w:r>
      <w:r w:rsidR="002D457E" w:rsidRPr="006F0DEA">
        <w:t xml:space="preserve"> Tests – </w:t>
      </w:r>
      <w:r w:rsidR="006F0DEA">
        <w:t xml:space="preserve"> </w:t>
      </w:r>
      <w:r w:rsidR="00323695">
        <w:t>March 2020</w:t>
      </w:r>
      <w:r w:rsidR="00A11F00" w:rsidRPr="006F0DEA">
        <w:t xml:space="preserve">– Summary of </w:t>
      </w:r>
      <w:r w:rsidRPr="006F0DEA">
        <w:t>completed populations</w:t>
      </w:r>
    </w:p>
    <w:p w14:paraId="7C44D711" w14:textId="62047918" w:rsidR="0035153E" w:rsidRDefault="00323695">
      <w:r>
        <w:t>41</w:t>
      </w:r>
      <w:r w:rsidR="006F0DEA">
        <w:t xml:space="preserve"> populations</w:t>
      </w:r>
      <w:r w:rsidR="00D20C5C">
        <w:t xml:space="preserve"> completed to date</w:t>
      </w:r>
      <w:r w:rsidR="0035153E" w:rsidRPr="006F0DEA">
        <w:t>.</w:t>
      </w:r>
      <w:r w:rsidR="00EF4219">
        <w:t xml:space="preserve">  Of these Peking was resistant to 20 populations while PI 88788 still had high levels of resistant (&lt;10% of susceptible control) to only 5 populations. Additionally, 24 of the populations could reproduce on PI 88788 </w:t>
      </w:r>
      <w:r w:rsidR="00BD38E9">
        <w:t>at levels of 30 to 60% of the susceptible.  These levels can cause measurable declines in yield based on studies in Iowa.</w:t>
      </w:r>
      <w:bookmarkStart w:id="0" w:name="_GoBack"/>
      <w:bookmarkEnd w:id="0"/>
    </w:p>
    <w:tbl>
      <w:tblPr>
        <w:tblW w:w="3660" w:type="dxa"/>
        <w:tblInd w:w="118" w:type="dxa"/>
        <w:tblLook w:val="0420" w:firstRow="1" w:lastRow="0" w:firstColumn="0" w:lastColumn="0" w:noHBand="0" w:noVBand="1"/>
      </w:tblPr>
      <w:tblGrid>
        <w:gridCol w:w="1740"/>
        <w:gridCol w:w="960"/>
        <w:gridCol w:w="960"/>
      </w:tblGrid>
      <w:tr w:rsidR="00323695" w:rsidRPr="00323695" w14:paraId="5CBC9EF5" w14:textId="77777777" w:rsidTr="00323695">
        <w:trPr>
          <w:trHeight w:val="876"/>
        </w:trPr>
        <w:tc>
          <w:tcPr>
            <w:tcW w:w="1740" w:type="dxa"/>
            <w:tcBorders>
              <w:top w:val="single" w:sz="8" w:space="0" w:color="FFFFFE"/>
              <w:left w:val="single" w:sz="8" w:space="0" w:color="FFFFFE"/>
              <w:bottom w:val="single" w:sz="12" w:space="0" w:color="FFFFFE"/>
              <w:right w:val="single" w:sz="8" w:space="0" w:color="FFFFFE"/>
            </w:tcBorders>
            <w:shd w:val="clear" w:color="000000" w:fill="00A3E0"/>
            <w:vAlign w:val="center"/>
            <w:hideMark/>
          </w:tcPr>
          <w:p w14:paraId="3373337F" w14:textId="77777777" w:rsidR="00323695" w:rsidRPr="00323695" w:rsidRDefault="00323695" w:rsidP="00323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E"/>
              </w:rPr>
            </w:pPr>
            <w:r w:rsidRPr="00323695">
              <w:rPr>
                <w:rFonts w:ascii="Calibri" w:eastAsia="Times New Roman" w:hAnsi="Calibri" w:cs="Calibri"/>
                <w:b/>
                <w:bCs/>
                <w:color w:val="FFFFFE"/>
              </w:rPr>
              <w:t>RF % of Susceptible</w:t>
            </w:r>
          </w:p>
        </w:tc>
        <w:tc>
          <w:tcPr>
            <w:tcW w:w="960" w:type="dxa"/>
            <w:tcBorders>
              <w:top w:val="single" w:sz="8" w:space="0" w:color="FFFFFE"/>
              <w:left w:val="nil"/>
              <w:bottom w:val="single" w:sz="12" w:space="0" w:color="FFFFFE"/>
              <w:right w:val="single" w:sz="8" w:space="0" w:color="FFFFFE"/>
            </w:tcBorders>
            <w:shd w:val="clear" w:color="000000" w:fill="00A3E0"/>
            <w:vAlign w:val="center"/>
            <w:hideMark/>
          </w:tcPr>
          <w:p w14:paraId="658B6501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E"/>
              </w:rPr>
            </w:pPr>
            <w:r w:rsidRPr="00323695">
              <w:rPr>
                <w:rFonts w:ascii="Calibri" w:eastAsia="Times New Roman" w:hAnsi="Calibri" w:cs="Calibri"/>
                <w:b/>
                <w:bCs/>
                <w:color w:val="FFFFFE"/>
              </w:rPr>
              <w:t>PEKING</w:t>
            </w:r>
          </w:p>
        </w:tc>
        <w:tc>
          <w:tcPr>
            <w:tcW w:w="960" w:type="dxa"/>
            <w:tcBorders>
              <w:top w:val="single" w:sz="8" w:space="0" w:color="FFFFFE"/>
              <w:left w:val="nil"/>
              <w:bottom w:val="single" w:sz="12" w:space="0" w:color="FFFFFE"/>
              <w:right w:val="single" w:sz="8" w:space="0" w:color="FFFFFE"/>
            </w:tcBorders>
            <w:shd w:val="clear" w:color="000000" w:fill="00A3E0"/>
            <w:vAlign w:val="center"/>
            <w:hideMark/>
          </w:tcPr>
          <w:p w14:paraId="2FAEB759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E"/>
              </w:rPr>
            </w:pPr>
            <w:r w:rsidRPr="00323695">
              <w:rPr>
                <w:rFonts w:ascii="Calibri" w:eastAsia="Times New Roman" w:hAnsi="Calibri" w:cs="Calibri"/>
                <w:b/>
                <w:bCs/>
                <w:color w:val="FFFFFE"/>
              </w:rPr>
              <w:t>PI88788</w:t>
            </w:r>
          </w:p>
        </w:tc>
      </w:tr>
      <w:tr w:rsidR="00323695" w:rsidRPr="00323695" w14:paraId="2251A07A" w14:textId="77777777" w:rsidTr="00323695">
        <w:trPr>
          <w:trHeight w:val="888"/>
        </w:trPr>
        <w:tc>
          <w:tcPr>
            <w:tcW w:w="1740" w:type="dxa"/>
            <w:tcBorders>
              <w:top w:val="nil"/>
              <w:left w:val="single" w:sz="8" w:space="0" w:color="FFFFFE"/>
              <w:bottom w:val="single" w:sz="8" w:space="0" w:color="FFFFFE"/>
              <w:right w:val="single" w:sz="8" w:space="0" w:color="FFFFFE"/>
            </w:tcBorders>
            <w:shd w:val="clear" w:color="000000" w:fill="CBE0F3"/>
            <w:vAlign w:val="center"/>
            <w:hideMark/>
          </w:tcPr>
          <w:p w14:paraId="4B2AFDBC" w14:textId="77777777" w:rsidR="00323695" w:rsidRPr="00323695" w:rsidRDefault="00323695" w:rsidP="00323695">
            <w:pPr>
              <w:spacing w:after="0" w:line="240" w:lineRule="auto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&lt;10 (resistant)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CBE0F3"/>
            <w:vAlign w:val="center"/>
            <w:hideMark/>
          </w:tcPr>
          <w:p w14:paraId="4B55023E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CBE0F3"/>
            <w:vAlign w:val="center"/>
            <w:hideMark/>
          </w:tcPr>
          <w:p w14:paraId="1743E269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5</w:t>
            </w:r>
          </w:p>
        </w:tc>
      </w:tr>
      <w:tr w:rsidR="00323695" w:rsidRPr="00323695" w14:paraId="44453A0D" w14:textId="77777777" w:rsidTr="003236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FFFFFE"/>
              <w:bottom w:val="single" w:sz="8" w:space="0" w:color="FFFFFE"/>
              <w:right w:val="single" w:sz="8" w:space="0" w:color="FFFFFE"/>
            </w:tcBorders>
            <w:shd w:val="clear" w:color="000000" w:fill="E7F0F9"/>
            <w:vAlign w:val="center"/>
            <w:hideMark/>
          </w:tcPr>
          <w:p w14:paraId="308622FE" w14:textId="77777777" w:rsidR="00323695" w:rsidRPr="00323695" w:rsidRDefault="00323695" w:rsidP="00323695">
            <w:pPr>
              <w:spacing w:after="0" w:line="240" w:lineRule="auto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20-Oct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E7F0F9"/>
            <w:vAlign w:val="center"/>
            <w:hideMark/>
          </w:tcPr>
          <w:p w14:paraId="24F9265E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E7F0F9"/>
            <w:vAlign w:val="center"/>
            <w:hideMark/>
          </w:tcPr>
          <w:p w14:paraId="0541B18E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3</w:t>
            </w:r>
          </w:p>
        </w:tc>
      </w:tr>
      <w:tr w:rsidR="00323695" w:rsidRPr="00323695" w14:paraId="6F6541C1" w14:textId="77777777" w:rsidTr="003236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FFFFFE"/>
              <w:bottom w:val="single" w:sz="8" w:space="0" w:color="FFFFFE"/>
              <w:right w:val="single" w:sz="8" w:space="0" w:color="FFFFFE"/>
            </w:tcBorders>
            <w:shd w:val="clear" w:color="000000" w:fill="CBE0F3"/>
            <w:vAlign w:val="center"/>
            <w:hideMark/>
          </w:tcPr>
          <w:p w14:paraId="2ED0D7AB" w14:textId="77777777" w:rsidR="00323695" w:rsidRPr="00323695" w:rsidRDefault="00323695" w:rsidP="00323695">
            <w:pPr>
              <w:spacing w:after="0" w:line="240" w:lineRule="auto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20-30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CBE0F3"/>
            <w:vAlign w:val="center"/>
            <w:hideMark/>
          </w:tcPr>
          <w:p w14:paraId="1CEE97E3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CBE0F3"/>
            <w:vAlign w:val="center"/>
            <w:hideMark/>
          </w:tcPr>
          <w:p w14:paraId="08458E00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9</w:t>
            </w:r>
          </w:p>
        </w:tc>
      </w:tr>
      <w:tr w:rsidR="00323695" w:rsidRPr="00323695" w14:paraId="7265242E" w14:textId="77777777" w:rsidTr="003236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FFFFFE"/>
              <w:bottom w:val="single" w:sz="8" w:space="0" w:color="FFFFFE"/>
              <w:right w:val="single" w:sz="8" w:space="0" w:color="FFFFFE"/>
            </w:tcBorders>
            <w:shd w:val="clear" w:color="000000" w:fill="E7F0F9"/>
            <w:vAlign w:val="center"/>
            <w:hideMark/>
          </w:tcPr>
          <w:p w14:paraId="1A988C51" w14:textId="77777777" w:rsidR="00323695" w:rsidRPr="00323695" w:rsidRDefault="00323695" w:rsidP="00323695">
            <w:pPr>
              <w:spacing w:after="0" w:line="240" w:lineRule="auto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30-40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E7F0F9"/>
            <w:vAlign w:val="center"/>
            <w:hideMark/>
          </w:tcPr>
          <w:p w14:paraId="694BB4FF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E7F0F9"/>
            <w:vAlign w:val="center"/>
            <w:hideMark/>
          </w:tcPr>
          <w:p w14:paraId="186B95F9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10</w:t>
            </w:r>
          </w:p>
        </w:tc>
      </w:tr>
      <w:tr w:rsidR="00323695" w:rsidRPr="00323695" w14:paraId="71DB3520" w14:textId="77777777" w:rsidTr="003236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FFFFFE"/>
              <w:bottom w:val="single" w:sz="8" w:space="0" w:color="FFFFFE"/>
              <w:right w:val="single" w:sz="8" w:space="0" w:color="FFFFFE"/>
            </w:tcBorders>
            <w:shd w:val="clear" w:color="000000" w:fill="CBE0F3"/>
            <w:vAlign w:val="center"/>
            <w:hideMark/>
          </w:tcPr>
          <w:p w14:paraId="2D29F7CA" w14:textId="77777777" w:rsidR="00323695" w:rsidRPr="00323695" w:rsidRDefault="00323695" w:rsidP="00323695">
            <w:pPr>
              <w:spacing w:after="0" w:line="240" w:lineRule="auto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40-50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CBE0F3"/>
            <w:vAlign w:val="center"/>
            <w:hideMark/>
          </w:tcPr>
          <w:p w14:paraId="3E13DC9F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CBE0F3"/>
            <w:vAlign w:val="center"/>
            <w:hideMark/>
          </w:tcPr>
          <w:p w14:paraId="1B038A3E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8</w:t>
            </w:r>
          </w:p>
        </w:tc>
      </w:tr>
      <w:tr w:rsidR="00323695" w:rsidRPr="00323695" w14:paraId="0B46B839" w14:textId="77777777" w:rsidTr="003236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FFFFFE"/>
              <w:bottom w:val="single" w:sz="8" w:space="0" w:color="FFFFFE"/>
              <w:right w:val="single" w:sz="8" w:space="0" w:color="FFFFFE"/>
            </w:tcBorders>
            <w:shd w:val="clear" w:color="000000" w:fill="E7F0F9"/>
            <w:vAlign w:val="center"/>
            <w:hideMark/>
          </w:tcPr>
          <w:p w14:paraId="01920D35" w14:textId="77777777" w:rsidR="00323695" w:rsidRPr="00323695" w:rsidRDefault="00323695" w:rsidP="00323695">
            <w:pPr>
              <w:spacing w:after="0" w:line="240" w:lineRule="auto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50-60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E7F0F9"/>
            <w:vAlign w:val="center"/>
            <w:hideMark/>
          </w:tcPr>
          <w:p w14:paraId="5B11520A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E7F0F9"/>
            <w:vAlign w:val="center"/>
            <w:hideMark/>
          </w:tcPr>
          <w:p w14:paraId="428534C8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5</w:t>
            </w:r>
          </w:p>
        </w:tc>
      </w:tr>
      <w:tr w:rsidR="00323695" w:rsidRPr="00323695" w14:paraId="584FBEF1" w14:textId="77777777" w:rsidTr="003236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FFFFFE"/>
              <w:bottom w:val="single" w:sz="8" w:space="0" w:color="FFFFFE"/>
              <w:right w:val="single" w:sz="8" w:space="0" w:color="FFFFFE"/>
            </w:tcBorders>
            <w:shd w:val="clear" w:color="000000" w:fill="CBE0F3"/>
            <w:vAlign w:val="center"/>
            <w:hideMark/>
          </w:tcPr>
          <w:p w14:paraId="331614D6" w14:textId="77777777" w:rsidR="00323695" w:rsidRPr="00323695" w:rsidRDefault="00323695" w:rsidP="00323695">
            <w:pPr>
              <w:spacing w:after="0" w:line="240" w:lineRule="auto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&gt;60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CBE0F3"/>
            <w:vAlign w:val="center"/>
            <w:hideMark/>
          </w:tcPr>
          <w:p w14:paraId="712A1D12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CBE0F3"/>
            <w:vAlign w:val="center"/>
            <w:hideMark/>
          </w:tcPr>
          <w:p w14:paraId="77AA38BE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1</w:t>
            </w:r>
          </w:p>
        </w:tc>
      </w:tr>
      <w:tr w:rsidR="00323695" w:rsidRPr="00323695" w14:paraId="3CEB7F38" w14:textId="77777777" w:rsidTr="003236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FFFFFE"/>
              <w:bottom w:val="single" w:sz="8" w:space="0" w:color="FFFFFE"/>
              <w:right w:val="single" w:sz="8" w:space="0" w:color="FFFFFE"/>
            </w:tcBorders>
            <w:shd w:val="clear" w:color="000000" w:fill="E7F0F9"/>
            <w:vAlign w:val="center"/>
            <w:hideMark/>
          </w:tcPr>
          <w:p w14:paraId="065D0F60" w14:textId="77777777" w:rsidR="00323695" w:rsidRPr="00323695" w:rsidRDefault="00323695" w:rsidP="00323695">
            <w:pPr>
              <w:spacing w:after="0" w:line="240" w:lineRule="auto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E7F0F9"/>
            <w:vAlign w:val="center"/>
            <w:hideMark/>
          </w:tcPr>
          <w:p w14:paraId="3B2397F6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E"/>
              <w:right w:val="single" w:sz="8" w:space="0" w:color="FFFFFE"/>
            </w:tcBorders>
            <w:shd w:val="clear" w:color="000000" w:fill="E7F0F9"/>
            <w:vAlign w:val="center"/>
            <w:hideMark/>
          </w:tcPr>
          <w:p w14:paraId="5F899A26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  <w:r w:rsidRPr="00323695">
              <w:rPr>
                <w:rFonts w:ascii="Calibri" w:eastAsia="Times New Roman" w:hAnsi="Calibri" w:cs="Calibri"/>
                <w:color w:val="13294B"/>
              </w:rPr>
              <w:t>41</w:t>
            </w:r>
          </w:p>
        </w:tc>
      </w:tr>
      <w:tr w:rsidR="00323695" w:rsidRPr="00323695" w14:paraId="2674F028" w14:textId="77777777" w:rsidTr="00323695">
        <w:trPr>
          <w:trHeight w:val="28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51E6" w14:textId="77777777" w:rsidR="00323695" w:rsidRPr="00323695" w:rsidRDefault="00323695" w:rsidP="0032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3294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B422" w14:textId="77777777" w:rsidR="00323695" w:rsidRPr="00323695" w:rsidRDefault="00323695" w:rsidP="0032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2C16" w14:textId="77777777" w:rsidR="00323695" w:rsidRPr="00323695" w:rsidRDefault="00323695" w:rsidP="0032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14AEAF" w14:textId="77777777" w:rsidR="00455A37" w:rsidRDefault="00455A37"/>
    <w:p w14:paraId="26645450" w14:textId="77777777" w:rsidR="0035153E" w:rsidRDefault="0035153E"/>
    <w:p w14:paraId="720359A0" w14:textId="77777777" w:rsidR="00D31B12" w:rsidRPr="00D31B12" w:rsidRDefault="00D31B12">
      <w:pPr>
        <w:rPr>
          <w:b/>
        </w:rPr>
      </w:pPr>
      <w:r w:rsidRPr="00D31B12">
        <w:rPr>
          <w:b/>
        </w:rPr>
        <w:t>Objective 3.</w:t>
      </w:r>
    </w:p>
    <w:p w14:paraId="059243CB" w14:textId="77777777" w:rsidR="00D31B12" w:rsidRDefault="00D31B12">
      <w:r>
        <w:t xml:space="preserve">Several different SCN management </w:t>
      </w:r>
      <w:r w:rsidR="00E41FA7">
        <w:t xml:space="preserve">studies </w:t>
      </w:r>
      <w:r>
        <w:t>are in progress.</w:t>
      </w:r>
    </w:p>
    <w:p w14:paraId="573F6F2D" w14:textId="77777777" w:rsidR="00E41FA7" w:rsidRDefault="003952E0" w:rsidP="00B75E91">
      <w:pPr>
        <w:pStyle w:val="ListParagraph"/>
        <w:numPr>
          <w:ilvl w:val="0"/>
          <w:numId w:val="2"/>
        </w:numPr>
      </w:pPr>
      <w:r>
        <w:t>A</w:t>
      </w:r>
      <w:r w:rsidR="00D31B12">
        <w:t xml:space="preserve"> study that is evaluating if Rye has any influence on SCN populations</w:t>
      </w:r>
      <w:r>
        <w:t xml:space="preserve"> was planted again for the third year with a cover crop</w:t>
      </w:r>
      <w:r w:rsidR="00D31B12">
        <w:t xml:space="preserve">.  </w:t>
      </w:r>
    </w:p>
    <w:p w14:paraId="37990689" w14:textId="77777777" w:rsidR="00455A37" w:rsidRDefault="00600CA5" w:rsidP="00E41FA7">
      <w:pPr>
        <w:pStyle w:val="ListParagraph"/>
        <w:numPr>
          <w:ilvl w:val="1"/>
          <w:numId w:val="2"/>
        </w:numPr>
      </w:pPr>
      <w:r>
        <w:t>S</w:t>
      </w:r>
      <w:r w:rsidR="00551FE4">
        <w:t>pring soil sampling</w:t>
      </w:r>
      <w:r>
        <w:t xml:space="preserve"> and processing was completed. </w:t>
      </w:r>
    </w:p>
    <w:p w14:paraId="049C92E9" w14:textId="77777777" w:rsidR="00600CA5" w:rsidRDefault="00600CA5" w:rsidP="00E41FA7">
      <w:pPr>
        <w:pStyle w:val="ListParagraph"/>
        <w:numPr>
          <w:ilvl w:val="1"/>
          <w:numId w:val="2"/>
        </w:numPr>
      </w:pPr>
      <w:r>
        <w:t>Data analysis is in progress</w:t>
      </w:r>
    </w:p>
    <w:p w14:paraId="05BC9FA8" w14:textId="77777777" w:rsidR="00600CA5" w:rsidRDefault="00600CA5" w:rsidP="00E41FA7">
      <w:pPr>
        <w:pStyle w:val="ListParagraph"/>
        <w:numPr>
          <w:ilvl w:val="1"/>
          <w:numId w:val="2"/>
        </w:numPr>
      </w:pPr>
      <w:r>
        <w:t>Note – this field was passed to Laura Lindsey</w:t>
      </w:r>
    </w:p>
    <w:p w14:paraId="3045AD8C" w14:textId="66CAAB7A" w:rsidR="007F5CD9" w:rsidRDefault="00455A37" w:rsidP="00B05541">
      <w:pPr>
        <w:pStyle w:val="ListParagraph"/>
        <w:numPr>
          <w:ilvl w:val="0"/>
          <w:numId w:val="2"/>
        </w:numPr>
      </w:pPr>
      <w:r>
        <w:t xml:space="preserve">Field experiments at </w:t>
      </w:r>
      <w:r w:rsidR="00600CA5">
        <w:t>2</w:t>
      </w:r>
      <w:r w:rsidR="00D31B12">
        <w:t xml:space="preserve"> locations with high SCN populations </w:t>
      </w:r>
      <w:r w:rsidR="009F13E2">
        <w:t xml:space="preserve">were </w:t>
      </w:r>
      <w:r w:rsidR="00F02B04">
        <w:t>established, data for SCN populations at planting, at harvest, stand counts and ratings for Sudden death syndrome was collected. Harvest</w:t>
      </w:r>
      <w:r w:rsidR="000B654A">
        <w:t xml:space="preserve"> at both sites was completed and data was sent to companies.  Final counts of </w:t>
      </w:r>
      <w:r w:rsidR="000B654A">
        <w:lastRenderedPageBreak/>
        <w:t>SCN populations are still in progress.</w:t>
      </w:r>
      <w:r w:rsidR="00CF1929">
        <w:t xml:space="preserve">  Planning is in progress for SCN studies at Western for the 2020 season.</w:t>
      </w:r>
    </w:p>
    <w:sectPr w:rsidR="007F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584E"/>
    <w:multiLevelType w:val="hybridMultilevel"/>
    <w:tmpl w:val="BC12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0F10"/>
    <w:multiLevelType w:val="hybridMultilevel"/>
    <w:tmpl w:val="F668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6936"/>
    <w:multiLevelType w:val="hybridMultilevel"/>
    <w:tmpl w:val="2084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71880"/>
    <w:multiLevelType w:val="hybridMultilevel"/>
    <w:tmpl w:val="6A8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E3636"/>
    <w:multiLevelType w:val="hybridMultilevel"/>
    <w:tmpl w:val="237251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28A7A">
      <w:start w:val="19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845"/>
    <w:rsid w:val="000246C2"/>
    <w:rsid w:val="0006229E"/>
    <w:rsid w:val="00086E73"/>
    <w:rsid w:val="00094C8E"/>
    <w:rsid w:val="000B654A"/>
    <w:rsid w:val="000C4E7D"/>
    <w:rsid w:val="000D0995"/>
    <w:rsid w:val="001767DE"/>
    <w:rsid w:val="00183038"/>
    <w:rsid w:val="00192065"/>
    <w:rsid w:val="0019613B"/>
    <w:rsid w:val="00216F7B"/>
    <w:rsid w:val="002D457E"/>
    <w:rsid w:val="00323695"/>
    <w:rsid w:val="0035153E"/>
    <w:rsid w:val="003952E0"/>
    <w:rsid w:val="00447C87"/>
    <w:rsid w:val="00455A37"/>
    <w:rsid w:val="00463339"/>
    <w:rsid w:val="00487CB9"/>
    <w:rsid w:val="004A022F"/>
    <w:rsid w:val="004F4907"/>
    <w:rsid w:val="00500CFC"/>
    <w:rsid w:val="00551FE4"/>
    <w:rsid w:val="00600CA5"/>
    <w:rsid w:val="00601845"/>
    <w:rsid w:val="006F0DEA"/>
    <w:rsid w:val="007B32FA"/>
    <w:rsid w:val="007C4562"/>
    <w:rsid w:val="007F5CD9"/>
    <w:rsid w:val="008073AD"/>
    <w:rsid w:val="00841572"/>
    <w:rsid w:val="00873472"/>
    <w:rsid w:val="008D1AC5"/>
    <w:rsid w:val="00930B9B"/>
    <w:rsid w:val="009310AB"/>
    <w:rsid w:val="009F13E2"/>
    <w:rsid w:val="00A11F00"/>
    <w:rsid w:val="00BD38E9"/>
    <w:rsid w:val="00BF3E90"/>
    <w:rsid w:val="00C16D45"/>
    <w:rsid w:val="00CF1929"/>
    <w:rsid w:val="00D20C5C"/>
    <w:rsid w:val="00D31B12"/>
    <w:rsid w:val="00D87CD5"/>
    <w:rsid w:val="00DF4948"/>
    <w:rsid w:val="00E05603"/>
    <w:rsid w:val="00E32BEF"/>
    <w:rsid w:val="00E41FA7"/>
    <w:rsid w:val="00EB250B"/>
    <w:rsid w:val="00EF4219"/>
    <w:rsid w:val="00F02B04"/>
    <w:rsid w:val="00F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B525"/>
  <w15:docId w15:val="{9C454FD3-9A4F-42A3-8C5B-00F85F4B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B12"/>
    <w:pPr>
      <w:ind w:left="720"/>
      <w:contextualSpacing/>
    </w:pPr>
  </w:style>
  <w:style w:type="table" w:styleId="TableGrid">
    <w:name w:val="Table Grid"/>
    <w:basedOn w:val="TableNormal"/>
    <w:uiPriority w:val="39"/>
    <w:rsid w:val="0035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Dorrance, Anne</dc:creator>
  <cp:lastModifiedBy>Dorrance, Anne</cp:lastModifiedBy>
  <cp:revision>4</cp:revision>
  <dcterms:created xsi:type="dcterms:W3CDTF">2020-03-29T18:29:00Z</dcterms:created>
  <dcterms:modified xsi:type="dcterms:W3CDTF">2020-03-29T18:44:00Z</dcterms:modified>
</cp:coreProperties>
</file>