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3DA37" w14:textId="1AECD120" w:rsidR="00EF7C93" w:rsidRDefault="001724D6" w:rsidP="00E76B27">
      <w:pPr>
        <w:rPr>
          <w:sz w:val="20"/>
          <w:szCs w:val="20"/>
        </w:rPr>
      </w:pPr>
      <w:bookmarkStart w:id="0" w:name="_GoBack"/>
      <w:bookmarkEnd w:id="0"/>
      <w:r w:rsidRPr="005414B8">
        <w:rPr>
          <w:sz w:val="20"/>
          <w:szCs w:val="20"/>
        </w:rPr>
        <w:t>S</w:t>
      </w:r>
      <w:r w:rsidR="00C7013F">
        <w:rPr>
          <w:sz w:val="20"/>
          <w:szCs w:val="20"/>
        </w:rPr>
        <w:t>OYBEAN</w:t>
      </w:r>
      <w:r w:rsidRPr="005414B8">
        <w:rPr>
          <w:sz w:val="20"/>
          <w:szCs w:val="20"/>
        </w:rPr>
        <w:t xml:space="preserve"> (</w:t>
      </w:r>
      <w:r w:rsidR="00350FA5" w:rsidRPr="00A04514">
        <w:rPr>
          <w:sz w:val="20"/>
          <w:szCs w:val="20"/>
        </w:rPr>
        <w:t>‘</w:t>
      </w:r>
      <w:r w:rsidR="008365E6">
        <w:rPr>
          <w:sz w:val="20"/>
          <w:szCs w:val="20"/>
        </w:rPr>
        <w:t>A</w:t>
      </w:r>
      <w:r w:rsidR="00B369A9">
        <w:rPr>
          <w:sz w:val="20"/>
          <w:szCs w:val="20"/>
        </w:rPr>
        <w:t>4</w:t>
      </w:r>
      <w:r w:rsidR="000F20BD">
        <w:rPr>
          <w:sz w:val="20"/>
          <w:szCs w:val="20"/>
        </w:rPr>
        <w:t>8X7</w:t>
      </w:r>
      <w:r w:rsidR="00120F5A">
        <w:rPr>
          <w:sz w:val="20"/>
          <w:szCs w:val="20"/>
        </w:rPr>
        <w:t>’</w:t>
      </w:r>
      <w:r w:rsidR="00CE747D">
        <w:rPr>
          <w:sz w:val="20"/>
          <w:szCs w:val="20"/>
        </w:rPr>
        <w:t>)</w:t>
      </w:r>
      <w:r w:rsidR="00B369A9">
        <w:rPr>
          <w:sz w:val="20"/>
          <w:szCs w:val="20"/>
        </w:rPr>
        <w:tab/>
      </w:r>
      <w:r w:rsidR="000A7C46">
        <w:rPr>
          <w:sz w:val="20"/>
          <w:szCs w:val="20"/>
        </w:rPr>
        <w:tab/>
      </w:r>
      <w:r w:rsidR="000A7C46">
        <w:rPr>
          <w:sz w:val="20"/>
          <w:szCs w:val="20"/>
        </w:rPr>
        <w:tab/>
      </w:r>
      <w:r w:rsidR="001413B5">
        <w:rPr>
          <w:sz w:val="20"/>
          <w:szCs w:val="20"/>
        </w:rPr>
        <w:tab/>
      </w:r>
      <w:r w:rsidR="00A14BFF">
        <w:rPr>
          <w:sz w:val="20"/>
          <w:szCs w:val="20"/>
        </w:rPr>
        <w:tab/>
      </w:r>
      <w:r w:rsidR="00A14BFF">
        <w:rPr>
          <w:sz w:val="20"/>
          <w:szCs w:val="20"/>
        </w:rPr>
        <w:tab/>
      </w:r>
      <w:r w:rsidR="00A14BFF">
        <w:rPr>
          <w:sz w:val="20"/>
          <w:szCs w:val="20"/>
        </w:rPr>
        <w:tab/>
      </w:r>
      <w:r w:rsidRPr="005414B8">
        <w:rPr>
          <w:sz w:val="20"/>
          <w:szCs w:val="20"/>
        </w:rPr>
        <w:t>J</w:t>
      </w:r>
      <w:r w:rsidR="004C46C2">
        <w:rPr>
          <w:sz w:val="20"/>
          <w:szCs w:val="20"/>
        </w:rPr>
        <w:t xml:space="preserve">. </w:t>
      </w:r>
      <w:r w:rsidRPr="005414B8">
        <w:rPr>
          <w:sz w:val="20"/>
          <w:szCs w:val="20"/>
        </w:rPr>
        <w:t>Damicone</w:t>
      </w:r>
      <w:r w:rsidR="000A7C46">
        <w:rPr>
          <w:sz w:val="20"/>
          <w:szCs w:val="20"/>
        </w:rPr>
        <w:t xml:space="preserve">, </w:t>
      </w:r>
      <w:r w:rsidR="00B369A9">
        <w:rPr>
          <w:sz w:val="20"/>
          <w:szCs w:val="20"/>
        </w:rPr>
        <w:t xml:space="preserve">D. Teeter, </w:t>
      </w:r>
      <w:r w:rsidR="00EF7C93">
        <w:rPr>
          <w:sz w:val="20"/>
          <w:szCs w:val="20"/>
        </w:rPr>
        <w:t xml:space="preserve">M. Musick, and T.K. </w:t>
      </w:r>
    </w:p>
    <w:p w14:paraId="0D9E9368" w14:textId="4727D8D8" w:rsidR="00EF7C93" w:rsidRDefault="00EF7C93" w:rsidP="00EF7C93">
      <w:pPr>
        <w:ind w:firstLine="720"/>
        <w:rPr>
          <w:sz w:val="20"/>
          <w:szCs w:val="20"/>
        </w:rPr>
      </w:pPr>
      <w:r>
        <w:rPr>
          <w:sz w:val="20"/>
          <w:szCs w:val="20"/>
        </w:rPr>
        <w:t>Damping off ‘</w:t>
      </w:r>
      <w:r w:rsidRPr="008365E6">
        <w:rPr>
          <w:i/>
          <w:sz w:val="20"/>
          <w:szCs w:val="20"/>
        </w:rPr>
        <w:t>Fusarium</w:t>
      </w:r>
      <w:r>
        <w:rPr>
          <w:sz w:val="20"/>
          <w:szCs w:val="20"/>
        </w:rPr>
        <w:t xml:space="preserve"> spp., </w:t>
      </w:r>
      <w:r w:rsidRPr="008365E6">
        <w:rPr>
          <w:i/>
          <w:sz w:val="20"/>
          <w:szCs w:val="20"/>
        </w:rPr>
        <w:t>Pythium</w:t>
      </w:r>
      <w:r>
        <w:rPr>
          <w:sz w:val="20"/>
          <w:szCs w:val="20"/>
        </w:rPr>
        <w:t xml:space="preserve"> spp., </w:t>
      </w:r>
      <w:r w:rsidRPr="008365E6">
        <w:rPr>
          <w:i/>
          <w:sz w:val="20"/>
          <w:szCs w:val="20"/>
        </w:rPr>
        <w:t>Rhizoctonia solani</w:t>
      </w:r>
      <w:r>
        <w:rPr>
          <w:sz w:val="20"/>
          <w:szCs w:val="20"/>
        </w:rPr>
        <w:t>’</w:t>
      </w:r>
      <w:r>
        <w:rPr>
          <w:sz w:val="20"/>
          <w:szCs w:val="20"/>
        </w:rPr>
        <w:tab/>
        <w:t>Wallac</w:t>
      </w:r>
      <w:r w:rsidR="00A14BFF">
        <w:rPr>
          <w:sz w:val="20"/>
          <w:szCs w:val="20"/>
        </w:rPr>
        <w:t>e</w:t>
      </w:r>
      <w:r>
        <w:rPr>
          <w:sz w:val="20"/>
          <w:szCs w:val="20"/>
        </w:rPr>
        <w:t xml:space="preserve">, </w:t>
      </w:r>
      <w:r w:rsidR="00742949" w:rsidRPr="005414B8">
        <w:rPr>
          <w:sz w:val="20"/>
          <w:szCs w:val="20"/>
        </w:rPr>
        <w:t>Dep</w:t>
      </w:r>
      <w:r>
        <w:rPr>
          <w:sz w:val="20"/>
          <w:szCs w:val="20"/>
        </w:rPr>
        <w:t xml:space="preserve">artment </w:t>
      </w:r>
      <w:r w:rsidR="000A7C46">
        <w:rPr>
          <w:sz w:val="20"/>
          <w:szCs w:val="20"/>
        </w:rPr>
        <w:t>of</w:t>
      </w:r>
      <w:r>
        <w:rPr>
          <w:sz w:val="20"/>
          <w:szCs w:val="20"/>
        </w:rPr>
        <w:t xml:space="preserve"> </w:t>
      </w:r>
      <w:r w:rsidR="000A7C46">
        <w:rPr>
          <w:sz w:val="20"/>
          <w:szCs w:val="20"/>
        </w:rPr>
        <w:t xml:space="preserve">Entomology </w:t>
      </w:r>
      <w:r w:rsidR="00247472" w:rsidRPr="005414B8">
        <w:rPr>
          <w:sz w:val="20"/>
          <w:szCs w:val="20"/>
        </w:rPr>
        <w:t>and Plant</w:t>
      </w:r>
    </w:p>
    <w:p w14:paraId="48580A8E" w14:textId="1E974C9D" w:rsidR="00247472" w:rsidRDefault="00247472" w:rsidP="00EF7C93">
      <w:pPr>
        <w:ind w:left="6480"/>
        <w:rPr>
          <w:sz w:val="20"/>
          <w:szCs w:val="20"/>
        </w:rPr>
      </w:pPr>
      <w:r w:rsidRPr="005414B8">
        <w:rPr>
          <w:sz w:val="20"/>
          <w:szCs w:val="20"/>
        </w:rPr>
        <w:t>Pathology</w:t>
      </w:r>
      <w:r w:rsidR="00EF7C93">
        <w:rPr>
          <w:sz w:val="20"/>
          <w:szCs w:val="20"/>
        </w:rPr>
        <w:t>,</w:t>
      </w:r>
      <w:r w:rsidR="00742949">
        <w:rPr>
          <w:sz w:val="20"/>
          <w:szCs w:val="20"/>
        </w:rPr>
        <w:t xml:space="preserve"> Oklahoma</w:t>
      </w:r>
      <w:r w:rsidR="001413B5">
        <w:rPr>
          <w:sz w:val="20"/>
          <w:szCs w:val="20"/>
        </w:rPr>
        <w:t xml:space="preserve"> </w:t>
      </w:r>
      <w:r w:rsidR="001413B5" w:rsidRPr="005414B8">
        <w:rPr>
          <w:sz w:val="20"/>
          <w:szCs w:val="20"/>
        </w:rPr>
        <w:t>State University</w:t>
      </w:r>
      <w:r w:rsidR="001413B5">
        <w:rPr>
          <w:sz w:val="20"/>
          <w:szCs w:val="20"/>
        </w:rPr>
        <w:t>,</w:t>
      </w:r>
      <w:r w:rsidR="00742949">
        <w:rPr>
          <w:sz w:val="20"/>
          <w:szCs w:val="20"/>
        </w:rPr>
        <w:t xml:space="preserve"> </w:t>
      </w:r>
      <w:r w:rsidR="00CE747D">
        <w:rPr>
          <w:sz w:val="20"/>
          <w:szCs w:val="20"/>
        </w:rPr>
        <w:t>Stillwater,</w:t>
      </w:r>
      <w:r w:rsidR="000A7C46">
        <w:rPr>
          <w:sz w:val="20"/>
          <w:szCs w:val="20"/>
        </w:rPr>
        <w:t xml:space="preserve"> </w:t>
      </w:r>
      <w:r w:rsidR="00EF7C93">
        <w:rPr>
          <w:sz w:val="20"/>
          <w:szCs w:val="20"/>
        </w:rPr>
        <w:t>O</w:t>
      </w:r>
      <w:r w:rsidR="002B01DD" w:rsidRPr="005414B8">
        <w:rPr>
          <w:sz w:val="20"/>
          <w:szCs w:val="20"/>
        </w:rPr>
        <w:t>K 74078</w:t>
      </w:r>
    </w:p>
    <w:p w14:paraId="7499B5C9" w14:textId="77777777" w:rsidR="002B01DD" w:rsidRPr="005414B8" w:rsidRDefault="002B01DD" w:rsidP="00247472">
      <w:pPr>
        <w:rPr>
          <w:sz w:val="20"/>
          <w:szCs w:val="20"/>
        </w:rPr>
      </w:pPr>
    </w:p>
    <w:p w14:paraId="47DFD5CF" w14:textId="435C164E" w:rsidR="00813A4F" w:rsidRPr="005414B8" w:rsidRDefault="00B369A9" w:rsidP="00E76B27">
      <w:pPr>
        <w:rPr>
          <w:b/>
          <w:sz w:val="20"/>
          <w:szCs w:val="20"/>
        </w:rPr>
      </w:pPr>
      <w:r>
        <w:rPr>
          <w:b/>
          <w:sz w:val="20"/>
          <w:szCs w:val="20"/>
        </w:rPr>
        <w:t xml:space="preserve">Effects of seed treatments on stand establishment and yield of soybeans planted at various seeding rates </w:t>
      </w:r>
      <w:r w:rsidR="005120A3">
        <w:rPr>
          <w:b/>
          <w:sz w:val="20"/>
          <w:szCs w:val="20"/>
        </w:rPr>
        <w:t xml:space="preserve">in </w:t>
      </w:r>
      <w:r w:rsidR="008B0FF6">
        <w:rPr>
          <w:b/>
          <w:sz w:val="20"/>
          <w:szCs w:val="20"/>
        </w:rPr>
        <w:t>Bixby</w:t>
      </w:r>
      <w:r w:rsidR="00247472">
        <w:rPr>
          <w:b/>
          <w:sz w:val="20"/>
          <w:szCs w:val="20"/>
        </w:rPr>
        <w:t>,</w:t>
      </w:r>
      <w:r w:rsidR="00813A4F" w:rsidRPr="005414B8">
        <w:rPr>
          <w:b/>
          <w:sz w:val="20"/>
          <w:szCs w:val="20"/>
        </w:rPr>
        <w:t xml:space="preserve"> 20</w:t>
      </w:r>
      <w:r w:rsidR="004865B5">
        <w:rPr>
          <w:b/>
          <w:sz w:val="20"/>
          <w:szCs w:val="20"/>
        </w:rPr>
        <w:t>1</w:t>
      </w:r>
      <w:r w:rsidR="00EF7C93">
        <w:rPr>
          <w:b/>
          <w:sz w:val="20"/>
          <w:szCs w:val="20"/>
        </w:rPr>
        <w:t>9</w:t>
      </w:r>
      <w:r w:rsidR="00813A4F" w:rsidRPr="005414B8">
        <w:rPr>
          <w:b/>
          <w:sz w:val="20"/>
          <w:szCs w:val="20"/>
        </w:rPr>
        <w:t>.</w:t>
      </w:r>
    </w:p>
    <w:p w14:paraId="711A2E5A" w14:textId="77777777" w:rsidR="00813A4F" w:rsidRPr="005414B8" w:rsidRDefault="00813A4F" w:rsidP="00E76B27">
      <w:pPr>
        <w:rPr>
          <w:sz w:val="20"/>
          <w:szCs w:val="20"/>
        </w:rPr>
      </w:pPr>
    </w:p>
    <w:p w14:paraId="01B7025D" w14:textId="3FBCC39F" w:rsidR="00894286" w:rsidRDefault="005120A3" w:rsidP="00761E64">
      <w:pPr>
        <w:ind w:firstLine="720"/>
        <w:rPr>
          <w:sz w:val="20"/>
          <w:szCs w:val="20"/>
        </w:rPr>
      </w:pPr>
      <w:r>
        <w:rPr>
          <w:sz w:val="20"/>
          <w:szCs w:val="20"/>
        </w:rPr>
        <w:t>The objective of this trial was to assess the effects of seed treatments</w:t>
      </w:r>
      <w:r w:rsidR="00551C40">
        <w:rPr>
          <w:sz w:val="20"/>
          <w:szCs w:val="20"/>
        </w:rPr>
        <w:t xml:space="preserve"> and seeding rates </w:t>
      </w:r>
      <w:r>
        <w:rPr>
          <w:sz w:val="20"/>
          <w:szCs w:val="20"/>
        </w:rPr>
        <w:t xml:space="preserve">on stand establishment and yield at </w:t>
      </w:r>
      <w:r w:rsidR="00551C40">
        <w:rPr>
          <w:sz w:val="20"/>
          <w:szCs w:val="20"/>
        </w:rPr>
        <w:t>early and late planting dates</w:t>
      </w:r>
      <w:r>
        <w:rPr>
          <w:sz w:val="20"/>
          <w:szCs w:val="20"/>
        </w:rPr>
        <w:t xml:space="preserve">. </w:t>
      </w:r>
      <w:r w:rsidR="0061451D">
        <w:rPr>
          <w:sz w:val="20"/>
          <w:szCs w:val="20"/>
        </w:rPr>
        <w:t xml:space="preserve">Seed treatments were </w:t>
      </w:r>
      <w:r w:rsidR="00551C40">
        <w:rPr>
          <w:sz w:val="20"/>
          <w:szCs w:val="20"/>
        </w:rPr>
        <w:t xml:space="preserve">a </w:t>
      </w:r>
      <w:r w:rsidR="0061451D">
        <w:rPr>
          <w:sz w:val="20"/>
          <w:szCs w:val="20"/>
        </w:rPr>
        <w:t xml:space="preserve">fungicide (Apron Maxx) </w:t>
      </w:r>
      <w:r w:rsidR="0092082C">
        <w:rPr>
          <w:sz w:val="20"/>
          <w:szCs w:val="20"/>
        </w:rPr>
        <w:t xml:space="preserve">and </w:t>
      </w:r>
      <w:r w:rsidR="00551C40">
        <w:rPr>
          <w:sz w:val="20"/>
          <w:szCs w:val="20"/>
        </w:rPr>
        <w:t xml:space="preserve">a </w:t>
      </w:r>
      <w:r w:rsidR="0061451D">
        <w:rPr>
          <w:sz w:val="20"/>
          <w:szCs w:val="20"/>
        </w:rPr>
        <w:t>combination of fungicide and insecticide (</w:t>
      </w:r>
      <w:r w:rsidR="00274CDD">
        <w:rPr>
          <w:sz w:val="20"/>
          <w:szCs w:val="20"/>
        </w:rPr>
        <w:t>CruiserMax</w:t>
      </w:r>
      <w:r w:rsidR="001216D4">
        <w:rPr>
          <w:sz w:val="20"/>
          <w:szCs w:val="20"/>
        </w:rPr>
        <w:t>x</w:t>
      </w:r>
      <w:r w:rsidR="00274CDD">
        <w:rPr>
          <w:sz w:val="20"/>
          <w:szCs w:val="20"/>
        </w:rPr>
        <w:t xml:space="preserve"> </w:t>
      </w:r>
      <w:r w:rsidR="009E3E34">
        <w:rPr>
          <w:sz w:val="20"/>
          <w:szCs w:val="20"/>
        </w:rPr>
        <w:t>Vibrance</w:t>
      </w:r>
      <w:r w:rsidR="00274CDD">
        <w:rPr>
          <w:sz w:val="20"/>
          <w:szCs w:val="20"/>
        </w:rPr>
        <w:t>)</w:t>
      </w:r>
      <w:r w:rsidR="00B939EE">
        <w:rPr>
          <w:sz w:val="20"/>
          <w:szCs w:val="20"/>
        </w:rPr>
        <w:t xml:space="preserve">. </w:t>
      </w:r>
      <w:r w:rsidR="00B939EE" w:rsidRPr="005414B8">
        <w:rPr>
          <w:sz w:val="20"/>
          <w:szCs w:val="20"/>
          <w:lang w:val="en-CA"/>
        </w:rPr>
        <w:fldChar w:fldCharType="begin"/>
      </w:r>
      <w:r w:rsidR="00B939EE" w:rsidRPr="005414B8">
        <w:rPr>
          <w:sz w:val="20"/>
          <w:szCs w:val="20"/>
          <w:lang w:val="en-CA"/>
        </w:rPr>
        <w:instrText xml:space="preserve"> SEQ CHAPTER \h \r 1</w:instrText>
      </w:r>
      <w:r w:rsidR="00B939EE" w:rsidRPr="005414B8">
        <w:rPr>
          <w:sz w:val="20"/>
          <w:szCs w:val="20"/>
          <w:lang w:val="en-CA"/>
        </w:rPr>
        <w:fldChar w:fldCharType="end"/>
      </w:r>
      <w:r w:rsidR="00B939EE">
        <w:rPr>
          <w:sz w:val="20"/>
          <w:szCs w:val="20"/>
          <w:lang w:val="en-CA"/>
        </w:rPr>
        <w:t xml:space="preserve">The trial was located </w:t>
      </w:r>
      <w:r w:rsidR="009178BF">
        <w:rPr>
          <w:sz w:val="20"/>
          <w:szCs w:val="20"/>
        </w:rPr>
        <w:t xml:space="preserve">at the </w:t>
      </w:r>
      <w:r w:rsidR="00206128">
        <w:rPr>
          <w:sz w:val="20"/>
          <w:szCs w:val="20"/>
        </w:rPr>
        <w:t xml:space="preserve">Mingo Valley Research Station </w:t>
      </w:r>
      <w:r w:rsidR="008B0FF6">
        <w:rPr>
          <w:sz w:val="20"/>
          <w:szCs w:val="20"/>
        </w:rPr>
        <w:t xml:space="preserve">in Bixby, OK in a field </w:t>
      </w:r>
      <w:r w:rsidR="008B0FF6" w:rsidRPr="00E44A37">
        <w:rPr>
          <w:sz w:val="20"/>
          <w:szCs w:val="20"/>
          <w:lang w:val="en-CA"/>
        </w:rPr>
        <w:fldChar w:fldCharType="begin"/>
      </w:r>
      <w:r w:rsidR="008B0FF6" w:rsidRPr="00E44A37">
        <w:rPr>
          <w:sz w:val="20"/>
          <w:szCs w:val="20"/>
          <w:lang w:val="en-CA"/>
        </w:rPr>
        <w:instrText xml:space="preserve"> SEQ CHAPTER \h \r 1</w:instrText>
      </w:r>
      <w:r w:rsidR="008B0FF6" w:rsidRPr="00E44A37">
        <w:rPr>
          <w:sz w:val="20"/>
          <w:szCs w:val="20"/>
        </w:rPr>
        <w:fldChar w:fldCharType="end"/>
      </w:r>
      <w:r w:rsidR="008B0FF6" w:rsidRPr="00E44A37">
        <w:rPr>
          <w:sz w:val="20"/>
          <w:szCs w:val="20"/>
        </w:rPr>
        <w:t xml:space="preserve">of </w:t>
      </w:r>
      <w:r w:rsidR="008B0FF6" w:rsidRPr="00E44A37">
        <w:rPr>
          <w:sz w:val="20"/>
          <w:szCs w:val="20"/>
          <w:lang w:val="en-CA"/>
        </w:rPr>
        <w:fldChar w:fldCharType="begin"/>
      </w:r>
      <w:r w:rsidR="008B0FF6" w:rsidRPr="00E44A37">
        <w:rPr>
          <w:sz w:val="20"/>
          <w:szCs w:val="20"/>
          <w:lang w:val="en-CA"/>
        </w:rPr>
        <w:instrText xml:space="preserve"> SEQ CHAPTER \h \r 1</w:instrText>
      </w:r>
      <w:r w:rsidR="008B0FF6" w:rsidRPr="00E44A37">
        <w:rPr>
          <w:sz w:val="20"/>
          <w:szCs w:val="20"/>
        </w:rPr>
        <w:fldChar w:fldCharType="end"/>
      </w:r>
      <w:r w:rsidR="008B0FF6">
        <w:rPr>
          <w:sz w:val="20"/>
          <w:szCs w:val="20"/>
        </w:rPr>
        <w:t>Wynona silty clay loam previously cropped to soybeans</w:t>
      </w:r>
      <w:r w:rsidR="00B939EE" w:rsidRPr="00E44A37">
        <w:rPr>
          <w:sz w:val="20"/>
          <w:szCs w:val="20"/>
          <w:lang w:val="en-CA"/>
        </w:rPr>
        <w:fldChar w:fldCharType="begin"/>
      </w:r>
      <w:r w:rsidR="00B939EE" w:rsidRPr="00E44A37">
        <w:rPr>
          <w:sz w:val="20"/>
          <w:szCs w:val="20"/>
          <w:lang w:val="en-CA"/>
        </w:rPr>
        <w:instrText xml:space="preserve"> SEQ CHAPTER \h \r 1</w:instrText>
      </w:r>
      <w:r w:rsidR="00B939EE" w:rsidRPr="00E44A37">
        <w:rPr>
          <w:sz w:val="20"/>
          <w:szCs w:val="20"/>
        </w:rPr>
        <w:fldChar w:fldCharType="end"/>
      </w:r>
      <w:r w:rsidR="00B939EE">
        <w:rPr>
          <w:sz w:val="20"/>
          <w:szCs w:val="20"/>
        </w:rPr>
        <w:t xml:space="preserve">. </w:t>
      </w:r>
      <w:r w:rsidR="00D61D27">
        <w:rPr>
          <w:sz w:val="20"/>
          <w:szCs w:val="20"/>
        </w:rPr>
        <w:t xml:space="preserve">The </w:t>
      </w:r>
      <w:r w:rsidR="008B0FF6">
        <w:rPr>
          <w:sz w:val="20"/>
          <w:szCs w:val="20"/>
        </w:rPr>
        <w:t>herbicide Prowl</w:t>
      </w:r>
      <w:r w:rsidR="00EF7C93">
        <w:rPr>
          <w:sz w:val="20"/>
          <w:szCs w:val="20"/>
        </w:rPr>
        <w:t xml:space="preserve"> </w:t>
      </w:r>
      <w:r w:rsidR="008B0FF6">
        <w:rPr>
          <w:sz w:val="20"/>
          <w:szCs w:val="20"/>
        </w:rPr>
        <w:t xml:space="preserve">H2O at </w:t>
      </w:r>
      <w:r w:rsidR="00DF53A5">
        <w:rPr>
          <w:sz w:val="20"/>
          <w:szCs w:val="20"/>
        </w:rPr>
        <w:t>2</w:t>
      </w:r>
      <w:r w:rsidR="008B0FF6">
        <w:rPr>
          <w:sz w:val="20"/>
          <w:szCs w:val="20"/>
        </w:rPr>
        <w:t xml:space="preserve"> pt/A was incorporated into the soil prior to </w:t>
      </w:r>
      <w:r w:rsidR="003E0F07">
        <w:rPr>
          <w:sz w:val="20"/>
          <w:szCs w:val="20"/>
        </w:rPr>
        <w:t xml:space="preserve">the </w:t>
      </w:r>
      <w:r w:rsidR="00206128">
        <w:rPr>
          <w:sz w:val="20"/>
          <w:szCs w:val="20"/>
        </w:rPr>
        <w:t>planting date</w:t>
      </w:r>
      <w:r w:rsidR="003E0F07">
        <w:rPr>
          <w:sz w:val="20"/>
          <w:szCs w:val="20"/>
        </w:rPr>
        <w:t xml:space="preserve">s of </w:t>
      </w:r>
      <w:r w:rsidR="00A14BFF">
        <w:rPr>
          <w:sz w:val="20"/>
          <w:szCs w:val="20"/>
        </w:rPr>
        <w:t>20 June</w:t>
      </w:r>
      <w:r w:rsidR="00C36E72">
        <w:rPr>
          <w:sz w:val="20"/>
          <w:szCs w:val="20"/>
        </w:rPr>
        <w:t xml:space="preserve"> and </w:t>
      </w:r>
      <w:r w:rsidR="00A14BFF">
        <w:rPr>
          <w:sz w:val="20"/>
          <w:szCs w:val="20"/>
        </w:rPr>
        <w:t>2 Jul</w:t>
      </w:r>
      <w:r w:rsidR="008B0FF6">
        <w:rPr>
          <w:sz w:val="20"/>
          <w:szCs w:val="20"/>
        </w:rPr>
        <w:t xml:space="preserve">. The </w:t>
      </w:r>
      <w:r w:rsidR="00D61D27">
        <w:rPr>
          <w:sz w:val="20"/>
          <w:szCs w:val="20"/>
        </w:rPr>
        <w:t xml:space="preserve">herbicide </w:t>
      </w:r>
      <w:r w:rsidR="00DF53A5">
        <w:rPr>
          <w:sz w:val="20"/>
          <w:szCs w:val="20"/>
        </w:rPr>
        <w:t>Boundary 6.5E at 2 pt/A was applied pre-emergence</w:t>
      </w:r>
      <w:r w:rsidR="00D61D27">
        <w:rPr>
          <w:sz w:val="20"/>
          <w:szCs w:val="20"/>
        </w:rPr>
        <w:t xml:space="preserve"> after</w:t>
      </w:r>
      <w:r w:rsidR="00206128">
        <w:rPr>
          <w:sz w:val="20"/>
          <w:szCs w:val="20"/>
        </w:rPr>
        <w:t xml:space="preserve"> each planting date</w:t>
      </w:r>
      <w:r w:rsidR="00D61D27">
        <w:rPr>
          <w:sz w:val="20"/>
          <w:szCs w:val="20"/>
        </w:rPr>
        <w:t xml:space="preserve">. </w:t>
      </w:r>
      <w:r w:rsidR="004E54E2" w:rsidRPr="00E44A37">
        <w:rPr>
          <w:sz w:val="20"/>
          <w:szCs w:val="20"/>
          <w:lang w:val="en-CA"/>
        </w:rPr>
        <w:fldChar w:fldCharType="begin"/>
      </w:r>
      <w:r w:rsidR="000A58A1" w:rsidRPr="00E44A37">
        <w:rPr>
          <w:sz w:val="20"/>
          <w:szCs w:val="20"/>
          <w:lang w:val="en-CA"/>
        </w:rPr>
        <w:instrText xml:space="preserve"> SEQ CHAPTER \h \r 1</w:instrText>
      </w:r>
      <w:r w:rsidR="004E54E2" w:rsidRPr="00E44A37">
        <w:rPr>
          <w:sz w:val="20"/>
          <w:szCs w:val="20"/>
        </w:rPr>
        <w:fldChar w:fldCharType="end"/>
      </w:r>
      <w:r w:rsidR="008C364A" w:rsidRPr="00E44A37">
        <w:rPr>
          <w:sz w:val="20"/>
          <w:szCs w:val="20"/>
          <w:lang w:val="en-CA"/>
        </w:rPr>
        <w:fldChar w:fldCharType="begin"/>
      </w:r>
      <w:r w:rsidR="008C364A" w:rsidRPr="00E44A37">
        <w:rPr>
          <w:sz w:val="20"/>
          <w:szCs w:val="20"/>
          <w:lang w:val="en-CA"/>
        </w:rPr>
        <w:instrText xml:space="preserve"> SEQ CHAPTER \h \r 1</w:instrText>
      </w:r>
      <w:r w:rsidR="008C364A" w:rsidRPr="00E44A37">
        <w:rPr>
          <w:sz w:val="20"/>
          <w:szCs w:val="20"/>
        </w:rPr>
        <w:fldChar w:fldCharType="end"/>
      </w:r>
      <w:r w:rsidR="00064D11">
        <w:rPr>
          <w:sz w:val="20"/>
          <w:szCs w:val="20"/>
        </w:rPr>
        <w:t>Seed treatments were applied using a rotary drum in a total slurry volume of 8 fl oz /100 lb seed.</w:t>
      </w:r>
      <w:r w:rsidR="000A58A1">
        <w:rPr>
          <w:sz w:val="20"/>
          <w:szCs w:val="20"/>
        </w:rPr>
        <w:t xml:space="preserve"> </w:t>
      </w:r>
      <w:r w:rsidR="004E54E2" w:rsidRPr="005414B8">
        <w:rPr>
          <w:sz w:val="20"/>
          <w:szCs w:val="20"/>
          <w:lang w:val="en-CA"/>
        </w:rPr>
        <w:fldChar w:fldCharType="begin"/>
      </w:r>
      <w:r w:rsidR="00E76B27" w:rsidRPr="005414B8">
        <w:rPr>
          <w:sz w:val="20"/>
          <w:szCs w:val="20"/>
          <w:lang w:val="en-CA"/>
        </w:rPr>
        <w:instrText xml:space="preserve"> SEQ CHAPTER \h \r 1</w:instrText>
      </w:r>
      <w:r w:rsidR="004E54E2" w:rsidRPr="005414B8">
        <w:rPr>
          <w:sz w:val="20"/>
          <w:szCs w:val="20"/>
          <w:lang w:val="en-CA"/>
        </w:rPr>
        <w:fldChar w:fldCharType="end"/>
      </w:r>
      <w:r w:rsidR="000536D1">
        <w:rPr>
          <w:sz w:val="20"/>
          <w:szCs w:val="20"/>
          <w:lang w:val="en-CA"/>
        </w:rPr>
        <w:t xml:space="preserve">The experimental design was a </w:t>
      </w:r>
      <w:r w:rsidR="003E0F07">
        <w:rPr>
          <w:sz w:val="20"/>
          <w:szCs w:val="20"/>
          <w:lang w:val="en-CA"/>
        </w:rPr>
        <w:t>randomized complete block with 5 replications</w:t>
      </w:r>
      <w:r w:rsidR="000536D1">
        <w:rPr>
          <w:sz w:val="20"/>
          <w:szCs w:val="20"/>
          <w:lang w:val="en-CA"/>
        </w:rPr>
        <w:t>.</w:t>
      </w:r>
      <w:r w:rsidR="003E0F07">
        <w:rPr>
          <w:sz w:val="20"/>
          <w:szCs w:val="20"/>
          <w:lang w:val="en-CA"/>
        </w:rPr>
        <w:t xml:space="preserve"> Plots </w:t>
      </w:r>
      <w:r w:rsidR="000536D1">
        <w:rPr>
          <w:sz w:val="20"/>
          <w:szCs w:val="20"/>
          <w:lang w:val="en-CA"/>
        </w:rPr>
        <w:t xml:space="preserve">consisted of </w:t>
      </w:r>
      <w:r w:rsidR="000B4713">
        <w:rPr>
          <w:sz w:val="20"/>
          <w:szCs w:val="20"/>
          <w:lang w:val="en-CA"/>
        </w:rPr>
        <w:t>two</w:t>
      </w:r>
      <w:r w:rsidR="007D10D1">
        <w:rPr>
          <w:sz w:val="20"/>
          <w:szCs w:val="20"/>
        </w:rPr>
        <w:t>, 2</w:t>
      </w:r>
      <w:r w:rsidR="003E0F07">
        <w:rPr>
          <w:sz w:val="20"/>
          <w:szCs w:val="20"/>
        </w:rPr>
        <w:t>5</w:t>
      </w:r>
      <w:r w:rsidR="007D10D1">
        <w:rPr>
          <w:sz w:val="20"/>
          <w:szCs w:val="20"/>
        </w:rPr>
        <w:t>-ft</w:t>
      </w:r>
      <w:r w:rsidR="000911B1">
        <w:rPr>
          <w:sz w:val="20"/>
          <w:szCs w:val="20"/>
        </w:rPr>
        <w:t xml:space="preserve"> </w:t>
      </w:r>
      <w:r w:rsidR="007D10D1">
        <w:rPr>
          <w:sz w:val="20"/>
          <w:szCs w:val="20"/>
        </w:rPr>
        <w:t>long rows spaced 3</w:t>
      </w:r>
      <w:r w:rsidR="003E0F07">
        <w:rPr>
          <w:sz w:val="20"/>
          <w:szCs w:val="20"/>
        </w:rPr>
        <w:t>0</w:t>
      </w:r>
      <w:r w:rsidR="000911B1">
        <w:rPr>
          <w:sz w:val="20"/>
          <w:szCs w:val="20"/>
        </w:rPr>
        <w:t>-</w:t>
      </w:r>
      <w:r w:rsidR="007D10D1">
        <w:rPr>
          <w:sz w:val="20"/>
          <w:szCs w:val="20"/>
        </w:rPr>
        <w:t>in</w:t>
      </w:r>
      <w:r w:rsidR="009B57E9">
        <w:rPr>
          <w:sz w:val="20"/>
          <w:szCs w:val="20"/>
        </w:rPr>
        <w:t>.</w:t>
      </w:r>
      <w:r w:rsidR="00710F40">
        <w:rPr>
          <w:sz w:val="20"/>
          <w:szCs w:val="20"/>
        </w:rPr>
        <w:t xml:space="preserve"> </w:t>
      </w:r>
      <w:r w:rsidR="007D10D1">
        <w:rPr>
          <w:sz w:val="20"/>
          <w:szCs w:val="20"/>
        </w:rPr>
        <w:t>apart</w:t>
      </w:r>
      <w:r w:rsidR="003E0F07">
        <w:rPr>
          <w:sz w:val="20"/>
          <w:szCs w:val="20"/>
        </w:rPr>
        <w:t xml:space="preserve">. </w:t>
      </w:r>
      <w:r w:rsidR="000B4713">
        <w:rPr>
          <w:sz w:val="20"/>
          <w:szCs w:val="20"/>
        </w:rPr>
        <w:t xml:space="preserve">Stand counts were taken </w:t>
      </w:r>
      <w:r w:rsidR="00A569D3">
        <w:rPr>
          <w:sz w:val="20"/>
          <w:szCs w:val="20"/>
        </w:rPr>
        <w:t xml:space="preserve">about </w:t>
      </w:r>
      <w:r w:rsidR="000B4713">
        <w:rPr>
          <w:sz w:val="20"/>
          <w:szCs w:val="20"/>
        </w:rPr>
        <w:t>14</w:t>
      </w:r>
      <w:r w:rsidR="008F350E">
        <w:rPr>
          <w:sz w:val="20"/>
          <w:szCs w:val="20"/>
        </w:rPr>
        <w:t xml:space="preserve"> </w:t>
      </w:r>
      <w:r w:rsidR="000B4713">
        <w:rPr>
          <w:sz w:val="20"/>
          <w:szCs w:val="20"/>
        </w:rPr>
        <w:t>days after each planting date</w:t>
      </w:r>
      <w:r w:rsidR="005A0394">
        <w:rPr>
          <w:sz w:val="20"/>
          <w:szCs w:val="20"/>
        </w:rPr>
        <w:t xml:space="preserve">. </w:t>
      </w:r>
      <w:r w:rsidR="00047E0E">
        <w:rPr>
          <w:sz w:val="20"/>
          <w:szCs w:val="20"/>
        </w:rPr>
        <w:t>R</w:t>
      </w:r>
      <w:r w:rsidR="00047E0E" w:rsidRPr="005414B8">
        <w:rPr>
          <w:sz w:val="20"/>
          <w:szCs w:val="20"/>
        </w:rPr>
        <w:t>ainfall</w:t>
      </w:r>
      <w:r w:rsidR="00047E0E">
        <w:rPr>
          <w:sz w:val="20"/>
          <w:szCs w:val="20"/>
        </w:rPr>
        <w:t xml:space="preserve"> during the cropping period totaled 3.98 in. for July, 6.78 in. for Aug., 3.83 for Sep, and 7.63 in. for Oct. Plots received sprinkler irrigation as needed to promote crop development.</w:t>
      </w:r>
      <w:r w:rsidR="00894286">
        <w:rPr>
          <w:sz w:val="20"/>
          <w:szCs w:val="20"/>
        </w:rPr>
        <w:t xml:space="preserve"> </w:t>
      </w:r>
      <w:r w:rsidR="00E35368">
        <w:rPr>
          <w:sz w:val="20"/>
          <w:szCs w:val="20"/>
        </w:rPr>
        <w:t xml:space="preserve">Plots were harvested with a </w:t>
      </w:r>
      <w:r w:rsidR="00271A3E">
        <w:rPr>
          <w:sz w:val="20"/>
          <w:szCs w:val="20"/>
        </w:rPr>
        <w:t>small-</w:t>
      </w:r>
      <w:r w:rsidR="00E35368">
        <w:rPr>
          <w:sz w:val="20"/>
          <w:szCs w:val="20"/>
        </w:rPr>
        <w:t xml:space="preserve">plot combine </w:t>
      </w:r>
      <w:r w:rsidR="00120F5A">
        <w:rPr>
          <w:sz w:val="20"/>
          <w:szCs w:val="20"/>
        </w:rPr>
        <w:t xml:space="preserve">on </w:t>
      </w:r>
      <w:r w:rsidR="00032B18">
        <w:rPr>
          <w:sz w:val="20"/>
          <w:szCs w:val="20"/>
        </w:rPr>
        <w:t>1</w:t>
      </w:r>
      <w:r w:rsidR="00047E0E">
        <w:rPr>
          <w:sz w:val="20"/>
          <w:szCs w:val="20"/>
        </w:rPr>
        <w:t>5</w:t>
      </w:r>
      <w:r w:rsidR="00074C14">
        <w:rPr>
          <w:sz w:val="20"/>
          <w:szCs w:val="20"/>
        </w:rPr>
        <w:t xml:space="preserve"> </w:t>
      </w:r>
      <w:r w:rsidR="00CE747D">
        <w:rPr>
          <w:sz w:val="20"/>
          <w:szCs w:val="20"/>
        </w:rPr>
        <w:t>Nov</w:t>
      </w:r>
      <w:r w:rsidR="00CF1C75">
        <w:rPr>
          <w:sz w:val="20"/>
          <w:szCs w:val="20"/>
        </w:rPr>
        <w:t xml:space="preserve"> </w:t>
      </w:r>
      <w:r w:rsidR="00E276FC">
        <w:rPr>
          <w:sz w:val="20"/>
          <w:szCs w:val="20"/>
        </w:rPr>
        <w:t>and y</w:t>
      </w:r>
      <w:r w:rsidR="00126C66">
        <w:rPr>
          <w:sz w:val="20"/>
          <w:szCs w:val="20"/>
        </w:rPr>
        <w:t xml:space="preserve">ields </w:t>
      </w:r>
      <w:r w:rsidR="00126C66" w:rsidRPr="008C4607">
        <w:rPr>
          <w:sz w:val="20"/>
          <w:szCs w:val="20"/>
        </w:rPr>
        <w:t>were adjusted to 13% moisture</w:t>
      </w:r>
      <w:r w:rsidR="00126C66">
        <w:rPr>
          <w:sz w:val="20"/>
          <w:szCs w:val="20"/>
        </w:rPr>
        <w:t>.</w:t>
      </w:r>
      <w:r w:rsidR="000A689A">
        <w:rPr>
          <w:sz w:val="20"/>
          <w:szCs w:val="20"/>
        </w:rPr>
        <w:t xml:space="preserve"> </w:t>
      </w:r>
      <w:r w:rsidR="00894286">
        <w:rPr>
          <w:sz w:val="20"/>
          <w:szCs w:val="20"/>
        </w:rPr>
        <w:t>Data were analyzed by analysis of variance using the GLIMMIX procedure of SAS 9.4 and means were separated with the LINES option where indicated by a significant treatment and</w:t>
      </w:r>
      <w:r w:rsidR="00913011">
        <w:rPr>
          <w:sz w:val="20"/>
          <w:szCs w:val="20"/>
        </w:rPr>
        <w:t>/</w:t>
      </w:r>
      <w:r w:rsidR="00894286">
        <w:rPr>
          <w:sz w:val="20"/>
          <w:szCs w:val="20"/>
        </w:rPr>
        <w:t>or planting date effects (P≤0.05).</w:t>
      </w:r>
    </w:p>
    <w:p w14:paraId="1271401B" w14:textId="77777777" w:rsidR="00047E0E" w:rsidRDefault="00047E0E" w:rsidP="00761E64">
      <w:pPr>
        <w:ind w:firstLine="720"/>
        <w:rPr>
          <w:sz w:val="20"/>
          <w:szCs w:val="20"/>
        </w:rPr>
      </w:pPr>
    </w:p>
    <w:p w14:paraId="63B3A94F" w14:textId="77777777" w:rsidR="00047E0E" w:rsidRDefault="00047E0E" w:rsidP="00047E0E">
      <w:pPr>
        <w:adjustRightInd w:val="0"/>
        <w:snapToGrid w:val="0"/>
        <w:ind w:firstLine="720"/>
        <w:rPr>
          <w:sz w:val="20"/>
          <w:szCs w:val="20"/>
        </w:rPr>
      </w:pPr>
      <w:r>
        <w:rPr>
          <w:sz w:val="20"/>
          <w:szCs w:val="20"/>
        </w:rPr>
        <w:t>Compared to the 30-yr average, rainfall was 7.3 in. above normal during the cropping period of Jul through Oct. Average monthly temperature was near normal for Jul and Aug, 7</w:t>
      </w:r>
      <w:r>
        <w:rPr>
          <w:sz w:val="20"/>
          <w:szCs w:val="20"/>
        </w:rPr>
        <w:sym w:font="Symbol" w:char="F0B0"/>
      </w:r>
      <w:r>
        <w:rPr>
          <w:sz w:val="20"/>
          <w:szCs w:val="20"/>
        </w:rPr>
        <w:t>F above normal in Sep, and 3</w:t>
      </w:r>
      <w:r>
        <w:rPr>
          <w:sz w:val="20"/>
          <w:szCs w:val="20"/>
        </w:rPr>
        <w:sym w:font="Symbol" w:char="F0B0"/>
      </w:r>
      <w:r>
        <w:rPr>
          <w:sz w:val="20"/>
          <w:szCs w:val="20"/>
        </w:rPr>
        <w:t xml:space="preserve">F below normal in Oct. Early and late planting dates were intended to be in May and June, respectively. However, excessive rain in May and early June prevented timely planting.  The early planting date received 1.6 inches of rain 3 days after planting on 20 June and emergence was only fair, averaging 59 to 65% of the seed planted for each seeding rate (Table 1). Seed treatment effects were similar for all seeding rates. CruiserMax increased plant population by 14% and while ApronMaxx also increased plant stand, the 9% increase was not statistically significant. Seeding rate but not seed treatment produced yield responses. The high seeding rate out yielded the lower seeding by 3.5 bushels.  Seed treatments had no effect on yield. </w:t>
      </w:r>
    </w:p>
    <w:p w14:paraId="43A21BAF" w14:textId="78F17F75" w:rsidR="00D735E2" w:rsidRDefault="00047E0E" w:rsidP="00047E0E">
      <w:pPr>
        <w:adjustRightInd w:val="0"/>
        <w:snapToGrid w:val="0"/>
        <w:ind w:firstLine="720"/>
        <w:rPr>
          <w:sz w:val="20"/>
          <w:szCs w:val="20"/>
        </w:rPr>
      </w:pPr>
      <w:r>
        <w:rPr>
          <w:sz w:val="20"/>
          <w:szCs w:val="20"/>
        </w:rPr>
        <w:t xml:space="preserve"> </w:t>
      </w:r>
    </w:p>
    <w:p w14:paraId="2A78D1C7" w14:textId="78B0FEAA" w:rsidR="00132ED0" w:rsidRDefault="00132ED0" w:rsidP="00151B93">
      <w:pPr>
        <w:rPr>
          <w:sz w:val="20"/>
          <w:szCs w:val="20"/>
        </w:rPr>
      </w:pPr>
      <w:r w:rsidRPr="003650FE">
        <w:rPr>
          <w:b/>
          <w:sz w:val="20"/>
          <w:szCs w:val="20"/>
        </w:rPr>
        <w:t>Table 1.</w:t>
      </w:r>
      <w:r>
        <w:rPr>
          <w:sz w:val="20"/>
          <w:szCs w:val="20"/>
        </w:rPr>
        <w:t xml:space="preserve"> Plant stand and yield responses to seeding rate and seed treatment for the early (</w:t>
      </w:r>
      <w:r w:rsidR="00EF7C93" w:rsidRPr="00EF7C93">
        <w:rPr>
          <w:b/>
          <w:sz w:val="20"/>
          <w:szCs w:val="20"/>
        </w:rPr>
        <w:t>20 June</w:t>
      </w:r>
      <w:r>
        <w:rPr>
          <w:sz w:val="20"/>
          <w:szCs w:val="20"/>
        </w:rPr>
        <w:t>) planting date.</w:t>
      </w:r>
    </w:p>
    <w:p w14:paraId="68D00ED2" w14:textId="78149528" w:rsidR="00132ED0" w:rsidRPr="005414B8" w:rsidRDefault="00132ED0" w:rsidP="00151B93">
      <w:pPr>
        <w:rPr>
          <w:sz w:val="20"/>
          <w:szCs w:val="20"/>
        </w:rPr>
      </w:pPr>
      <w:r>
        <w:rPr>
          <w:sz w:val="20"/>
          <w:szCs w:val="20"/>
        </w:rPr>
        <w:t xml:space="preserve"> </w:t>
      </w:r>
    </w:p>
    <w:tbl>
      <w:tblPr>
        <w:tblStyle w:val="TableGrid"/>
        <w:tblW w:w="10800" w:type="dxa"/>
        <w:jc w:val="center"/>
        <w:tblBorders>
          <w:top w:val="single" w:sz="6" w:space="0" w:color="auto"/>
          <w:left w:val="none" w:sz="0" w:space="0" w:color="auto"/>
          <w:bottom w:val="single" w:sz="6" w:space="0" w:color="auto"/>
          <w:right w:val="none" w:sz="0" w:space="0" w:color="auto"/>
          <w:insideH w:val="single" w:sz="6" w:space="0" w:color="auto"/>
          <w:insideV w:val="none" w:sz="0" w:space="0" w:color="auto"/>
        </w:tblBorders>
        <w:tblLayout w:type="fixed"/>
        <w:tblCellMar>
          <w:top w:w="29" w:type="dxa"/>
          <w:left w:w="115" w:type="dxa"/>
          <w:bottom w:w="29" w:type="dxa"/>
          <w:right w:w="115" w:type="dxa"/>
        </w:tblCellMar>
        <w:tblLook w:val="01E0" w:firstRow="1" w:lastRow="1" w:firstColumn="1" w:lastColumn="1" w:noHBand="0" w:noVBand="0"/>
      </w:tblPr>
      <w:tblGrid>
        <w:gridCol w:w="3420"/>
        <w:gridCol w:w="1530"/>
        <w:gridCol w:w="1620"/>
        <w:gridCol w:w="1440"/>
        <w:gridCol w:w="1260"/>
        <w:gridCol w:w="1530"/>
      </w:tblGrid>
      <w:tr w:rsidR="003650FE" w:rsidRPr="00875FB4" w14:paraId="5EBDF382" w14:textId="77777777" w:rsidTr="003650FE">
        <w:trPr>
          <w:trHeight w:hRule="exact" w:val="288"/>
          <w:jc w:val="center"/>
        </w:trPr>
        <w:tc>
          <w:tcPr>
            <w:tcW w:w="3420" w:type="dxa"/>
            <w:tcBorders>
              <w:left w:val="nil"/>
              <w:bottom w:val="nil"/>
              <w:right w:val="nil"/>
            </w:tcBorders>
            <w:shd w:val="clear" w:color="auto" w:fill="auto"/>
            <w:vAlign w:val="center"/>
          </w:tcPr>
          <w:p w14:paraId="3D0CE590" w14:textId="77777777" w:rsidR="003650FE" w:rsidRDefault="003650FE" w:rsidP="00A11F99">
            <w:pPr>
              <w:rPr>
                <w:sz w:val="20"/>
                <w:szCs w:val="20"/>
              </w:rPr>
            </w:pPr>
          </w:p>
        </w:tc>
        <w:tc>
          <w:tcPr>
            <w:tcW w:w="5850" w:type="dxa"/>
            <w:gridSpan w:val="4"/>
            <w:tcBorders>
              <w:left w:val="nil"/>
              <w:right w:val="nil"/>
            </w:tcBorders>
            <w:vAlign w:val="center"/>
          </w:tcPr>
          <w:p w14:paraId="31C0A3CC" w14:textId="02D978D6" w:rsidR="003650FE" w:rsidRDefault="003650FE" w:rsidP="00A11F99">
            <w:pPr>
              <w:jc w:val="center"/>
              <w:rPr>
                <w:sz w:val="20"/>
                <w:szCs w:val="20"/>
              </w:rPr>
            </w:pPr>
            <w:r>
              <w:rPr>
                <w:sz w:val="20"/>
                <w:szCs w:val="20"/>
              </w:rPr>
              <w:t>Seeding rate (1000 seeds/A)</w:t>
            </w:r>
          </w:p>
        </w:tc>
        <w:tc>
          <w:tcPr>
            <w:tcW w:w="1530" w:type="dxa"/>
            <w:tcBorders>
              <w:left w:val="nil"/>
              <w:right w:val="nil"/>
            </w:tcBorders>
            <w:vAlign w:val="center"/>
          </w:tcPr>
          <w:p w14:paraId="32CF88C0" w14:textId="49969AE2" w:rsidR="003650FE" w:rsidRDefault="003650FE" w:rsidP="00A11F99">
            <w:pPr>
              <w:jc w:val="center"/>
              <w:rPr>
                <w:sz w:val="20"/>
                <w:szCs w:val="20"/>
              </w:rPr>
            </w:pPr>
          </w:p>
        </w:tc>
      </w:tr>
      <w:tr w:rsidR="00F42DD6" w:rsidRPr="00875FB4" w14:paraId="29F55E67" w14:textId="77777777" w:rsidTr="003D1D5F">
        <w:trPr>
          <w:trHeight w:val="262"/>
          <w:jc w:val="center"/>
        </w:trPr>
        <w:tc>
          <w:tcPr>
            <w:tcW w:w="3420" w:type="dxa"/>
            <w:tcBorders>
              <w:top w:val="nil"/>
              <w:left w:val="nil"/>
              <w:right w:val="nil"/>
            </w:tcBorders>
            <w:shd w:val="clear" w:color="auto" w:fill="auto"/>
            <w:vAlign w:val="center"/>
          </w:tcPr>
          <w:p w14:paraId="3833A030" w14:textId="77777777" w:rsidR="00F42DD6" w:rsidRPr="00432A3C" w:rsidRDefault="00F42DD6" w:rsidP="000536D1">
            <w:pPr>
              <w:rPr>
                <w:sz w:val="20"/>
                <w:szCs w:val="20"/>
              </w:rPr>
            </w:pPr>
            <w:r w:rsidRPr="00432A3C">
              <w:rPr>
                <w:sz w:val="20"/>
                <w:szCs w:val="20"/>
              </w:rPr>
              <w:t>Treatment and rate/</w:t>
            </w:r>
            <w:r>
              <w:rPr>
                <w:sz w:val="20"/>
                <w:szCs w:val="20"/>
              </w:rPr>
              <w:t>cwt seed</w:t>
            </w:r>
          </w:p>
        </w:tc>
        <w:tc>
          <w:tcPr>
            <w:tcW w:w="1530" w:type="dxa"/>
            <w:tcBorders>
              <w:left w:val="nil"/>
              <w:right w:val="nil"/>
            </w:tcBorders>
            <w:vAlign w:val="center"/>
          </w:tcPr>
          <w:p w14:paraId="2F9522BC" w14:textId="1E695E6E" w:rsidR="00F42DD6" w:rsidRDefault="00F42DD6" w:rsidP="00857FBA">
            <w:pPr>
              <w:jc w:val="center"/>
              <w:rPr>
                <w:sz w:val="20"/>
                <w:szCs w:val="20"/>
              </w:rPr>
            </w:pPr>
            <w:r>
              <w:rPr>
                <w:sz w:val="20"/>
                <w:szCs w:val="20"/>
              </w:rPr>
              <w:t>6</w:t>
            </w:r>
            <w:r w:rsidR="00857FBA">
              <w:rPr>
                <w:sz w:val="20"/>
                <w:szCs w:val="20"/>
              </w:rPr>
              <w:t>1</w:t>
            </w:r>
            <w:r w:rsidR="002E1E1B">
              <w:rPr>
                <w:sz w:val="20"/>
                <w:szCs w:val="20"/>
              </w:rPr>
              <w:t>.</w:t>
            </w:r>
            <w:r w:rsidR="00857FBA">
              <w:rPr>
                <w:sz w:val="20"/>
                <w:szCs w:val="20"/>
              </w:rPr>
              <w:t>0</w:t>
            </w:r>
          </w:p>
        </w:tc>
        <w:tc>
          <w:tcPr>
            <w:tcW w:w="1620" w:type="dxa"/>
            <w:tcBorders>
              <w:left w:val="nil"/>
              <w:right w:val="nil"/>
            </w:tcBorders>
            <w:vAlign w:val="center"/>
          </w:tcPr>
          <w:p w14:paraId="07626336" w14:textId="0FAA1692" w:rsidR="00F42DD6" w:rsidRDefault="00857FBA" w:rsidP="00857FBA">
            <w:pPr>
              <w:jc w:val="center"/>
              <w:rPr>
                <w:sz w:val="20"/>
                <w:szCs w:val="20"/>
              </w:rPr>
            </w:pPr>
            <w:r>
              <w:rPr>
                <w:sz w:val="20"/>
                <w:szCs w:val="20"/>
              </w:rPr>
              <w:t>80.1</w:t>
            </w:r>
          </w:p>
        </w:tc>
        <w:tc>
          <w:tcPr>
            <w:tcW w:w="1440" w:type="dxa"/>
            <w:tcBorders>
              <w:left w:val="nil"/>
              <w:right w:val="nil"/>
            </w:tcBorders>
            <w:vAlign w:val="center"/>
          </w:tcPr>
          <w:p w14:paraId="6484CB15" w14:textId="2910CC34" w:rsidR="00F42DD6" w:rsidRDefault="00857FBA" w:rsidP="00857FBA">
            <w:pPr>
              <w:jc w:val="center"/>
              <w:rPr>
                <w:sz w:val="20"/>
                <w:szCs w:val="20"/>
              </w:rPr>
            </w:pPr>
            <w:r>
              <w:rPr>
                <w:sz w:val="20"/>
                <w:szCs w:val="20"/>
              </w:rPr>
              <w:t>95.8</w:t>
            </w:r>
          </w:p>
        </w:tc>
        <w:tc>
          <w:tcPr>
            <w:tcW w:w="1260" w:type="dxa"/>
            <w:tcBorders>
              <w:left w:val="nil"/>
              <w:right w:val="nil"/>
            </w:tcBorders>
            <w:vAlign w:val="center"/>
          </w:tcPr>
          <w:p w14:paraId="50D1FD10" w14:textId="5BE9DB47" w:rsidR="00F42DD6" w:rsidRDefault="00F42DD6" w:rsidP="00857FBA">
            <w:pPr>
              <w:jc w:val="center"/>
              <w:rPr>
                <w:sz w:val="20"/>
                <w:szCs w:val="20"/>
              </w:rPr>
            </w:pPr>
            <w:r>
              <w:rPr>
                <w:sz w:val="20"/>
                <w:szCs w:val="20"/>
              </w:rPr>
              <w:t>11</w:t>
            </w:r>
            <w:r w:rsidR="00857FBA">
              <w:rPr>
                <w:sz w:val="20"/>
                <w:szCs w:val="20"/>
              </w:rPr>
              <w:t>6.7</w:t>
            </w:r>
          </w:p>
        </w:tc>
        <w:tc>
          <w:tcPr>
            <w:tcW w:w="1530" w:type="dxa"/>
            <w:tcBorders>
              <w:left w:val="nil"/>
              <w:right w:val="nil"/>
            </w:tcBorders>
            <w:vAlign w:val="center"/>
          </w:tcPr>
          <w:p w14:paraId="3E464C99" w14:textId="46589ED4" w:rsidR="00F42DD6" w:rsidRDefault="00F42DD6" w:rsidP="00C743BD">
            <w:pPr>
              <w:jc w:val="center"/>
              <w:rPr>
                <w:sz w:val="20"/>
                <w:szCs w:val="20"/>
              </w:rPr>
            </w:pPr>
            <w:r>
              <w:rPr>
                <w:sz w:val="20"/>
                <w:szCs w:val="20"/>
              </w:rPr>
              <w:t>average</w:t>
            </w:r>
            <w:r>
              <w:rPr>
                <w:sz w:val="20"/>
                <w:szCs w:val="20"/>
                <w:vertAlign w:val="superscript"/>
              </w:rPr>
              <w:t>z</w:t>
            </w:r>
          </w:p>
        </w:tc>
      </w:tr>
      <w:tr w:rsidR="00763637" w:rsidRPr="00875FB4" w14:paraId="02AF8F21" w14:textId="77777777" w:rsidTr="00763637">
        <w:trPr>
          <w:trHeight w:val="288"/>
          <w:jc w:val="center"/>
        </w:trPr>
        <w:tc>
          <w:tcPr>
            <w:tcW w:w="3420" w:type="dxa"/>
            <w:tcBorders>
              <w:left w:val="nil"/>
              <w:right w:val="nil"/>
            </w:tcBorders>
            <w:vAlign w:val="center"/>
          </w:tcPr>
          <w:p w14:paraId="45336092" w14:textId="77777777" w:rsidR="00763637" w:rsidRPr="00350FA5" w:rsidRDefault="00763637" w:rsidP="008365E6">
            <w:pPr>
              <w:rPr>
                <w:sz w:val="20"/>
                <w:szCs w:val="20"/>
              </w:rPr>
            </w:pPr>
          </w:p>
        </w:tc>
        <w:tc>
          <w:tcPr>
            <w:tcW w:w="5850" w:type="dxa"/>
            <w:gridSpan w:val="4"/>
            <w:tcBorders>
              <w:left w:val="nil"/>
              <w:right w:val="nil"/>
            </w:tcBorders>
            <w:vAlign w:val="center"/>
          </w:tcPr>
          <w:p w14:paraId="721A0731" w14:textId="2202F762" w:rsidR="00763637" w:rsidRDefault="00763637" w:rsidP="00763637">
            <w:pPr>
              <w:jc w:val="center"/>
              <w:rPr>
                <w:sz w:val="20"/>
                <w:szCs w:val="20"/>
              </w:rPr>
            </w:pPr>
            <w:r>
              <w:rPr>
                <w:sz w:val="20"/>
                <w:szCs w:val="20"/>
              </w:rPr>
              <w:t>Plant stand (</w:t>
            </w:r>
            <w:r w:rsidR="002E1E1B">
              <w:rPr>
                <w:sz w:val="20"/>
                <w:szCs w:val="20"/>
              </w:rPr>
              <w:t xml:space="preserve">1000 </w:t>
            </w:r>
            <w:r>
              <w:rPr>
                <w:sz w:val="20"/>
                <w:szCs w:val="20"/>
              </w:rPr>
              <w:t>plants/A)</w:t>
            </w:r>
          </w:p>
        </w:tc>
        <w:tc>
          <w:tcPr>
            <w:tcW w:w="1530" w:type="dxa"/>
            <w:tcBorders>
              <w:left w:val="nil"/>
              <w:right w:val="nil"/>
            </w:tcBorders>
            <w:vAlign w:val="center"/>
          </w:tcPr>
          <w:p w14:paraId="5F0CA1FF" w14:textId="22E624AF" w:rsidR="00763637" w:rsidRDefault="00763637" w:rsidP="00B827FF">
            <w:pPr>
              <w:jc w:val="center"/>
              <w:rPr>
                <w:sz w:val="20"/>
                <w:szCs w:val="20"/>
              </w:rPr>
            </w:pPr>
          </w:p>
        </w:tc>
      </w:tr>
      <w:tr w:rsidR="00F42DD6" w:rsidRPr="00875FB4" w14:paraId="6F86E134" w14:textId="77777777" w:rsidTr="003D1D5F">
        <w:trPr>
          <w:trHeight w:val="288"/>
          <w:jc w:val="center"/>
        </w:trPr>
        <w:tc>
          <w:tcPr>
            <w:tcW w:w="3420" w:type="dxa"/>
            <w:tcBorders>
              <w:left w:val="nil"/>
              <w:right w:val="nil"/>
            </w:tcBorders>
            <w:vAlign w:val="center"/>
          </w:tcPr>
          <w:p w14:paraId="24129026" w14:textId="568175FE" w:rsidR="00F42DD6" w:rsidRPr="00350FA5" w:rsidRDefault="00F42DD6" w:rsidP="001B4876">
            <w:pPr>
              <w:rPr>
                <w:sz w:val="20"/>
                <w:szCs w:val="20"/>
              </w:rPr>
            </w:pPr>
            <w:r>
              <w:rPr>
                <w:sz w:val="20"/>
                <w:szCs w:val="20"/>
              </w:rPr>
              <w:t>Non-treated check</w:t>
            </w:r>
          </w:p>
        </w:tc>
        <w:tc>
          <w:tcPr>
            <w:tcW w:w="1530" w:type="dxa"/>
            <w:tcBorders>
              <w:left w:val="nil"/>
              <w:right w:val="nil"/>
            </w:tcBorders>
            <w:vAlign w:val="center"/>
          </w:tcPr>
          <w:p w14:paraId="7730CD42" w14:textId="2CD6AB38" w:rsidR="00F42DD6" w:rsidRDefault="002E1E1B" w:rsidP="006B523D">
            <w:pPr>
              <w:jc w:val="center"/>
              <w:rPr>
                <w:sz w:val="20"/>
                <w:szCs w:val="20"/>
              </w:rPr>
            </w:pPr>
            <w:r>
              <w:rPr>
                <w:sz w:val="20"/>
                <w:szCs w:val="20"/>
              </w:rPr>
              <w:t>34.8</w:t>
            </w:r>
          </w:p>
        </w:tc>
        <w:tc>
          <w:tcPr>
            <w:tcW w:w="1620" w:type="dxa"/>
            <w:tcBorders>
              <w:left w:val="nil"/>
              <w:right w:val="nil"/>
            </w:tcBorders>
            <w:vAlign w:val="center"/>
          </w:tcPr>
          <w:p w14:paraId="263F4A73" w14:textId="6CF3616F" w:rsidR="00F42DD6" w:rsidRDefault="002E1E1B" w:rsidP="0061545D">
            <w:pPr>
              <w:jc w:val="center"/>
              <w:rPr>
                <w:sz w:val="20"/>
                <w:szCs w:val="20"/>
              </w:rPr>
            </w:pPr>
            <w:r>
              <w:rPr>
                <w:sz w:val="20"/>
                <w:szCs w:val="20"/>
              </w:rPr>
              <w:t>54.2</w:t>
            </w:r>
          </w:p>
        </w:tc>
        <w:tc>
          <w:tcPr>
            <w:tcW w:w="1440" w:type="dxa"/>
            <w:tcBorders>
              <w:left w:val="nil"/>
              <w:right w:val="nil"/>
            </w:tcBorders>
            <w:vAlign w:val="center"/>
          </w:tcPr>
          <w:p w14:paraId="6517DFCA" w14:textId="69AD1055" w:rsidR="00F42DD6" w:rsidRDefault="00202455" w:rsidP="006B523D">
            <w:pPr>
              <w:jc w:val="center"/>
              <w:rPr>
                <w:sz w:val="20"/>
                <w:szCs w:val="20"/>
              </w:rPr>
            </w:pPr>
            <w:r>
              <w:rPr>
                <w:sz w:val="20"/>
                <w:szCs w:val="20"/>
              </w:rPr>
              <w:t>52.8</w:t>
            </w:r>
          </w:p>
        </w:tc>
        <w:tc>
          <w:tcPr>
            <w:tcW w:w="1260" w:type="dxa"/>
            <w:tcBorders>
              <w:left w:val="nil"/>
              <w:right w:val="nil"/>
            </w:tcBorders>
            <w:vAlign w:val="center"/>
          </w:tcPr>
          <w:p w14:paraId="7B46E41D" w14:textId="7D532C61" w:rsidR="00F42DD6" w:rsidRDefault="00202455" w:rsidP="00E268EB">
            <w:pPr>
              <w:jc w:val="center"/>
              <w:rPr>
                <w:sz w:val="20"/>
                <w:szCs w:val="20"/>
              </w:rPr>
            </w:pPr>
            <w:r>
              <w:rPr>
                <w:sz w:val="20"/>
                <w:szCs w:val="20"/>
              </w:rPr>
              <w:t>64.0</w:t>
            </w:r>
          </w:p>
        </w:tc>
        <w:tc>
          <w:tcPr>
            <w:tcW w:w="1530" w:type="dxa"/>
            <w:tcBorders>
              <w:left w:val="nil"/>
              <w:right w:val="nil"/>
            </w:tcBorders>
            <w:vAlign w:val="center"/>
          </w:tcPr>
          <w:p w14:paraId="40E014B3" w14:textId="750FFC41" w:rsidR="00F42DD6" w:rsidRDefault="00202455" w:rsidP="00202455">
            <w:pPr>
              <w:rPr>
                <w:sz w:val="20"/>
                <w:szCs w:val="20"/>
              </w:rPr>
            </w:pPr>
            <w:r>
              <w:rPr>
                <w:sz w:val="20"/>
                <w:szCs w:val="20"/>
              </w:rPr>
              <w:t xml:space="preserve">        </w:t>
            </w:r>
            <w:r w:rsidR="00132ED0">
              <w:rPr>
                <w:sz w:val="20"/>
                <w:szCs w:val="20"/>
              </w:rPr>
              <w:t xml:space="preserve"> </w:t>
            </w:r>
            <w:r>
              <w:rPr>
                <w:sz w:val="20"/>
                <w:szCs w:val="20"/>
              </w:rPr>
              <w:t>51.4</w:t>
            </w:r>
            <w:r w:rsidR="006B523D">
              <w:rPr>
                <w:sz w:val="20"/>
                <w:szCs w:val="20"/>
              </w:rPr>
              <w:t xml:space="preserve"> </w:t>
            </w:r>
            <w:r>
              <w:rPr>
                <w:sz w:val="20"/>
                <w:szCs w:val="20"/>
              </w:rPr>
              <w:t>b</w:t>
            </w:r>
            <w:r w:rsidR="00132ED0" w:rsidRPr="00132ED0">
              <w:rPr>
                <w:sz w:val="20"/>
                <w:szCs w:val="20"/>
                <w:vertAlign w:val="superscript"/>
              </w:rPr>
              <w:t>x</w:t>
            </w:r>
          </w:p>
        </w:tc>
      </w:tr>
      <w:tr w:rsidR="00F42DD6" w:rsidRPr="00AF3F82" w14:paraId="71560ACA" w14:textId="77777777" w:rsidTr="003D1D5F">
        <w:trPr>
          <w:trHeight w:val="288"/>
          <w:jc w:val="center"/>
        </w:trPr>
        <w:tc>
          <w:tcPr>
            <w:tcW w:w="3420" w:type="dxa"/>
            <w:tcBorders>
              <w:left w:val="nil"/>
              <w:right w:val="nil"/>
            </w:tcBorders>
            <w:vAlign w:val="center"/>
          </w:tcPr>
          <w:p w14:paraId="532C32C4" w14:textId="6520C7E0" w:rsidR="00F42DD6" w:rsidRDefault="00F42DD6" w:rsidP="00DF53A5">
            <w:pPr>
              <w:rPr>
                <w:sz w:val="20"/>
                <w:szCs w:val="20"/>
                <w:lang w:val="pt-BR"/>
              </w:rPr>
            </w:pPr>
            <w:r>
              <w:rPr>
                <w:sz w:val="20"/>
                <w:szCs w:val="20"/>
                <w:lang w:val="pt-BR"/>
              </w:rPr>
              <w:t>CruiserMaxx Vibrance 2.49F 3.2 fl oz</w:t>
            </w:r>
          </w:p>
        </w:tc>
        <w:tc>
          <w:tcPr>
            <w:tcW w:w="1530" w:type="dxa"/>
            <w:tcBorders>
              <w:left w:val="nil"/>
              <w:right w:val="nil"/>
            </w:tcBorders>
            <w:vAlign w:val="center"/>
          </w:tcPr>
          <w:p w14:paraId="7C6F7808" w14:textId="223A1AA4" w:rsidR="00F42DD6" w:rsidRDefault="002E1E1B" w:rsidP="006B523D">
            <w:pPr>
              <w:jc w:val="center"/>
              <w:rPr>
                <w:sz w:val="20"/>
                <w:szCs w:val="20"/>
                <w:lang w:val="pt-BR"/>
              </w:rPr>
            </w:pPr>
            <w:r>
              <w:rPr>
                <w:sz w:val="20"/>
                <w:szCs w:val="20"/>
                <w:lang w:val="pt-BR"/>
              </w:rPr>
              <w:t>41.2</w:t>
            </w:r>
          </w:p>
        </w:tc>
        <w:tc>
          <w:tcPr>
            <w:tcW w:w="1620" w:type="dxa"/>
            <w:tcBorders>
              <w:left w:val="nil"/>
              <w:right w:val="nil"/>
            </w:tcBorders>
            <w:vAlign w:val="center"/>
          </w:tcPr>
          <w:p w14:paraId="12FF964D" w14:textId="79F0319B" w:rsidR="00F42DD6" w:rsidRDefault="002E1E1B" w:rsidP="006B523D">
            <w:pPr>
              <w:jc w:val="center"/>
              <w:rPr>
                <w:sz w:val="20"/>
                <w:szCs w:val="20"/>
                <w:lang w:val="pt-BR"/>
              </w:rPr>
            </w:pPr>
            <w:r>
              <w:rPr>
                <w:sz w:val="20"/>
                <w:szCs w:val="20"/>
                <w:lang w:val="pt-BR"/>
              </w:rPr>
              <w:t>54.7</w:t>
            </w:r>
          </w:p>
        </w:tc>
        <w:tc>
          <w:tcPr>
            <w:tcW w:w="1440" w:type="dxa"/>
            <w:tcBorders>
              <w:left w:val="nil"/>
              <w:right w:val="nil"/>
            </w:tcBorders>
            <w:vAlign w:val="center"/>
          </w:tcPr>
          <w:p w14:paraId="15A976D1" w14:textId="4EAE28A4" w:rsidR="00F42DD6" w:rsidRDefault="00202455" w:rsidP="006B523D">
            <w:pPr>
              <w:jc w:val="center"/>
              <w:rPr>
                <w:sz w:val="20"/>
                <w:szCs w:val="20"/>
                <w:lang w:val="pt-BR"/>
              </w:rPr>
            </w:pPr>
            <w:r>
              <w:rPr>
                <w:sz w:val="20"/>
                <w:szCs w:val="20"/>
                <w:lang w:val="pt-BR"/>
              </w:rPr>
              <w:t>58.2</w:t>
            </w:r>
          </w:p>
        </w:tc>
        <w:tc>
          <w:tcPr>
            <w:tcW w:w="1260" w:type="dxa"/>
            <w:tcBorders>
              <w:left w:val="nil"/>
              <w:right w:val="nil"/>
            </w:tcBorders>
            <w:vAlign w:val="center"/>
          </w:tcPr>
          <w:p w14:paraId="3DA34184" w14:textId="3C4842F5" w:rsidR="00F42DD6" w:rsidRDefault="00202455" w:rsidP="00E561C5">
            <w:pPr>
              <w:jc w:val="center"/>
              <w:rPr>
                <w:sz w:val="20"/>
                <w:szCs w:val="20"/>
                <w:lang w:val="pt-BR"/>
              </w:rPr>
            </w:pPr>
            <w:r>
              <w:rPr>
                <w:sz w:val="20"/>
                <w:szCs w:val="20"/>
                <w:lang w:val="pt-BR"/>
              </w:rPr>
              <w:t>79.7</w:t>
            </w:r>
          </w:p>
        </w:tc>
        <w:tc>
          <w:tcPr>
            <w:tcW w:w="1530" w:type="dxa"/>
            <w:tcBorders>
              <w:left w:val="nil"/>
              <w:right w:val="nil"/>
            </w:tcBorders>
            <w:vAlign w:val="center"/>
          </w:tcPr>
          <w:p w14:paraId="79775071" w14:textId="0AA8C49C" w:rsidR="00F42DD6" w:rsidRDefault="00202455" w:rsidP="00202455">
            <w:pPr>
              <w:rPr>
                <w:sz w:val="20"/>
                <w:szCs w:val="20"/>
                <w:lang w:val="pt-BR"/>
              </w:rPr>
            </w:pPr>
            <w:r>
              <w:rPr>
                <w:sz w:val="20"/>
                <w:szCs w:val="20"/>
                <w:lang w:val="pt-BR"/>
              </w:rPr>
              <w:t xml:space="preserve">         58.4</w:t>
            </w:r>
            <w:r w:rsidR="006B523D">
              <w:rPr>
                <w:sz w:val="20"/>
                <w:szCs w:val="20"/>
                <w:lang w:val="pt-BR"/>
              </w:rPr>
              <w:t xml:space="preserve"> </w:t>
            </w:r>
            <w:r>
              <w:rPr>
                <w:sz w:val="20"/>
                <w:szCs w:val="20"/>
                <w:lang w:val="pt-BR"/>
              </w:rPr>
              <w:t>a</w:t>
            </w:r>
          </w:p>
        </w:tc>
      </w:tr>
      <w:tr w:rsidR="00F42DD6" w:rsidRPr="00AF3F82" w14:paraId="6E730DEA" w14:textId="77777777" w:rsidTr="003D1D5F">
        <w:trPr>
          <w:trHeight w:val="288"/>
          <w:jc w:val="center"/>
        </w:trPr>
        <w:tc>
          <w:tcPr>
            <w:tcW w:w="3420" w:type="dxa"/>
            <w:tcBorders>
              <w:left w:val="nil"/>
              <w:right w:val="nil"/>
            </w:tcBorders>
            <w:vAlign w:val="center"/>
          </w:tcPr>
          <w:p w14:paraId="4FEE6E47" w14:textId="30932D13" w:rsidR="00F42DD6" w:rsidRDefault="00F42DD6" w:rsidP="00F42DD6">
            <w:pPr>
              <w:rPr>
                <w:sz w:val="20"/>
                <w:szCs w:val="20"/>
                <w:lang w:val="pt-BR"/>
              </w:rPr>
            </w:pPr>
            <w:r>
              <w:rPr>
                <w:sz w:val="20"/>
                <w:szCs w:val="20"/>
                <w:lang w:val="pt-BR"/>
              </w:rPr>
              <w:t>ApronMaxx+Moly RTA 0.16F 5 fl oz</w:t>
            </w:r>
          </w:p>
        </w:tc>
        <w:tc>
          <w:tcPr>
            <w:tcW w:w="1530" w:type="dxa"/>
            <w:tcBorders>
              <w:left w:val="nil"/>
              <w:right w:val="nil"/>
            </w:tcBorders>
            <w:vAlign w:val="center"/>
          </w:tcPr>
          <w:p w14:paraId="09097FB3" w14:textId="6280E0DE" w:rsidR="00F42DD6" w:rsidRDefault="002E1E1B" w:rsidP="006B523D">
            <w:pPr>
              <w:jc w:val="center"/>
              <w:rPr>
                <w:sz w:val="20"/>
                <w:szCs w:val="20"/>
                <w:lang w:val="pt-BR"/>
              </w:rPr>
            </w:pPr>
            <w:r>
              <w:rPr>
                <w:sz w:val="20"/>
                <w:szCs w:val="20"/>
                <w:lang w:val="pt-BR"/>
              </w:rPr>
              <w:t>4</w:t>
            </w:r>
            <w:r w:rsidR="00202455">
              <w:rPr>
                <w:sz w:val="20"/>
                <w:szCs w:val="20"/>
                <w:lang w:val="pt-BR"/>
              </w:rPr>
              <w:t>2.7</w:t>
            </w:r>
          </w:p>
        </w:tc>
        <w:tc>
          <w:tcPr>
            <w:tcW w:w="1620" w:type="dxa"/>
            <w:tcBorders>
              <w:left w:val="nil"/>
              <w:right w:val="nil"/>
            </w:tcBorders>
            <w:vAlign w:val="center"/>
          </w:tcPr>
          <w:p w14:paraId="4C74AAB4" w14:textId="3BC944FF" w:rsidR="00F42DD6" w:rsidRDefault="002E1E1B" w:rsidP="0061545D">
            <w:pPr>
              <w:jc w:val="center"/>
              <w:rPr>
                <w:sz w:val="20"/>
                <w:szCs w:val="20"/>
                <w:lang w:val="pt-BR"/>
              </w:rPr>
            </w:pPr>
            <w:r>
              <w:rPr>
                <w:sz w:val="20"/>
                <w:szCs w:val="20"/>
                <w:lang w:val="pt-BR"/>
              </w:rPr>
              <w:t>50.7</w:t>
            </w:r>
          </w:p>
        </w:tc>
        <w:tc>
          <w:tcPr>
            <w:tcW w:w="1440" w:type="dxa"/>
            <w:tcBorders>
              <w:left w:val="nil"/>
              <w:right w:val="nil"/>
            </w:tcBorders>
            <w:vAlign w:val="center"/>
          </w:tcPr>
          <w:p w14:paraId="32C58978" w14:textId="3C9573C4" w:rsidR="00F42DD6" w:rsidRDefault="00202455" w:rsidP="006B523D">
            <w:pPr>
              <w:jc w:val="center"/>
              <w:rPr>
                <w:sz w:val="20"/>
                <w:szCs w:val="20"/>
                <w:lang w:val="pt-BR"/>
              </w:rPr>
            </w:pPr>
            <w:r>
              <w:rPr>
                <w:sz w:val="20"/>
                <w:szCs w:val="20"/>
                <w:lang w:val="pt-BR"/>
              </w:rPr>
              <w:t>58.4</w:t>
            </w:r>
          </w:p>
        </w:tc>
        <w:tc>
          <w:tcPr>
            <w:tcW w:w="1260" w:type="dxa"/>
            <w:tcBorders>
              <w:left w:val="nil"/>
              <w:right w:val="nil"/>
            </w:tcBorders>
            <w:vAlign w:val="center"/>
          </w:tcPr>
          <w:p w14:paraId="3730F946" w14:textId="705FDEA6" w:rsidR="00F42DD6" w:rsidRDefault="00202455" w:rsidP="00E268EB">
            <w:pPr>
              <w:jc w:val="center"/>
              <w:rPr>
                <w:sz w:val="20"/>
                <w:szCs w:val="20"/>
                <w:lang w:val="pt-BR"/>
              </w:rPr>
            </w:pPr>
            <w:r>
              <w:rPr>
                <w:sz w:val="20"/>
                <w:szCs w:val="20"/>
                <w:lang w:val="pt-BR"/>
              </w:rPr>
              <w:t>71.2</w:t>
            </w:r>
          </w:p>
        </w:tc>
        <w:tc>
          <w:tcPr>
            <w:tcW w:w="1530" w:type="dxa"/>
            <w:tcBorders>
              <w:left w:val="nil"/>
              <w:right w:val="nil"/>
            </w:tcBorders>
            <w:vAlign w:val="center"/>
          </w:tcPr>
          <w:p w14:paraId="6EF9565D" w14:textId="239DBAB0" w:rsidR="00F42DD6" w:rsidRDefault="00202455" w:rsidP="00202455">
            <w:pPr>
              <w:rPr>
                <w:sz w:val="20"/>
                <w:szCs w:val="20"/>
                <w:lang w:val="pt-BR"/>
              </w:rPr>
            </w:pPr>
            <w:r>
              <w:rPr>
                <w:sz w:val="20"/>
                <w:szCs w:val="20"/>
                <w:lang w:val="pt-BR"/>
              </w:rPr>
              <w:t xml:space="preserve">         55.8</w:t>
            </w:r>
            <w:r w:rsidR="006B523D">
              <w:rPr>
                <w:sz w:val="20"/>
                <w:szCs w:val="20"/>
                <w:lang w:val="pt-BR"/>
              </w:rPr>
              <w:t xml:space="preserve"> a</w:t>
            </w:r>
            <w:r>
              <w:rPr>
                <w:sz w:val="20"/>
                <w:szCs w:val="20"/>
                <w:lang w:val="pt-BR"/>
              </w:rPr>
              <w:t>b</w:t>
            </w:r>
          </w:p>
        </w:tc>
      </w:tr>
      <w:tr w:rsidR="00F42DD6" w:rsidRPr="008F593F" w14:paraId="242C35F5" w14:textId="77777777" w:rsidTr="003D1D5F">
        <w:trPr>
          <w:trHeight w:val="288"/>
          <w:jc w:val="center"/>
        </w:trPr>
        <w:tc>
          <w:tcPr>
            <w:tcW w:w="3420" w:type="dxa"/>
            <w:tcBorders>
              <w:left w:val="nil"/>
              <w:right w:val="nil"/>
            </w:tcBorders>
            <w:vAlign w:val="center"/>
          </w:tcPr>
          <w:p w14:paraId="0CE8DE73" w14:textId="6CB9452D" w:rsidR="00F42DD6" w:rsidRDefault="00F42DD6" w:rsidP="0092082C">
            <w:pPr>
              <w:rPr>
                <w:sz w:val="20"/>
                <w:szCs w:val="20"/>
                <w:lang w:val="pt-BR"/>
              </w:rPr>
            </w:pPr>
            <w:r>
              <w:rPr>
                <w:sz w:val="20"/>
                <w:szCs w:val="20"/>
                <w:lang w:val="pt-BR"/>
              </w:rPr>
              <w:t>average</w:t>
            </w:r>
            <w:r w:rsidR="00132ED0">
              <w:rPr>
                <w:sz w:val="20"/>
                <w:szCs w:val="20"/>
                <w:vertAlign w:val="superscript"/>
                <w:lang w:val="pt-BR"/>
              </w:rPr>
              <w:t>y</w:t>
            </w:r>
          </w:p>
        </w:tc>
        <w:tc>
          <w:tcPr>
            <w:tcW w:w="1530" w:type="dxa"/>
            <w:tcBorders>
              <w:left w:val="nil"/>
              <w:right w:val="nil"/>
            </w:tcBorders>
            <w:vAlign w:val="center"/>
          </w:tcPr>
          <w:p w14:paraId="5CAA8704" w14:textId="724ED87E" w:rsidR="00F42DD6" w:rsidRDefault="00F42DD6" w:rsidP="003D1D5F">
            <w:pPr>
              <w:rPr>
                <w:sz w:val="20"/>
                <w:szCs w:val="20"/>
                <w:lang w:val="pt-BR"/>
              </w:rPr>
            </w:pPr>
            <w:r>
              <w:rPr>
                <w:sz w:val="20"/>
                <w:szCs w:val="20"/>
                <w:lang w:val="pt-BR"/>
              </w:rPr>
              <w:t xml:space="preserve">   </w:t>
            </w:r>
            <w:r w:rsidR="006B523D">
              <w:rPr>
                <w:sz w:val="20"/>
                <w:szCs w:val="20"/>
                <w:lang w:val="pt-BR"/>
              </w:rPr>
              <w:t xml:space="preserve">   </w:t>
            </w:r>
            <w:r>
              <w:rPr>
                <w:sz w:val="20"/>
                <w:szCs w:val="20"/>
                <w:lang w:val="pt-BR"/>
              </w:rPr>
              <w:t xml:space="preserve">   </w:t>
            </w:r>
            <w:r w:rsidR="00202455">
              <w:rPr>
                <w:sz w:val="20"/>
                <w:szCs w:val="20"/>
                <w:lang w:val="pt-BR"/>
              </w:rPr>
              <w:t>39.6</w:t>
            </w:r>
            <w:r>
              <w:rPr>
                <w:sz w:val="20"/>
                <w:szCs w:val="20"/>
                <w:lang w:val="pt-BR"/>
              </w:rPr>
              <w:t xml:space="preserve"> </w:t>
            </w:r>
            <w:r w:rsidR="000F20BD">
              <w:rPr>
                <w:sz w:val="20"/>
                <w:szCs w:val="20"/>
                <w:lang w:val="pt-BR"/>
              </w:rPr>
              <w:t>c</w:t>
            </w:r>
            <w:r w:rsidR="00132ED0" w:rsidRPr="00132ED0">
              <w:rPr>
                <w:sz w:val="20"/>
                <w:szCs w:val="20"/>
                <w:vertAlign w:val="superscript"/>
                <w:lang w:val="pt-BR"/>
              </w:rPr>
              <w:t>x</w:t>
            </w:r>
          </w:p>
        </w:tc>
        <w:tc>
          <w:tcPr>
            <w:tcW w:w="1620" w:type="dxa"/>
            <w:tcBorders>
              <w:left w:val="nil"/>
              <w:right w:val="nil"/>
            </w:tcBorders>
            <w:vAlign w:val="center"/>
          </w:tcPr>
          <w:p w14:paraId="150A88DC" w14:textId="28B613F7" w:rsidR="00F42DD6" w:rsidRDefault="00F42DD6" w:rsidP="00AC47F5">
            <w:pPr>
              <w:rPr>
                <w:sz w:val="20"/>
                <w:szCs w:val="20"/>
                <w:lang w:val="pt-BR"/>
              </w:rPr>
            </w:pPr>
            <w:r>
              <w:rPr>
                <w:sz w:val="20"/>
                <w:szCs w:val="20"/>
                <w:lang w:val="pt-BR"/>
              </w:rPr>
              <w:t xml:space="preserve">   </w:t>
            </w:r>
            <w:r w:rsidR="006B523D">
              <w:rPr>
                <w:sz w:val="20"/>
                <w:szCs w:val="20"/>
                <w:lang w:val="pt-BR"/>
              </w:rPr>
              <w:t xml:space="preserve">    </w:t>
            </w:r>
            <w:r w:rsidR="00AC47F5">
              <w:rPr>
                <w:sz w:val="20"/>
                <w:szCs w:val="20"/>
                <w:lang w:val="pt-BR"/>
              </w:rPr>
              <w:t xml:space="preserve">  </w:t>
            </w:r>
            <w:r w:rsidR="00AC3F92">
              <w:rPr>
                <w:sz w:val="20"/>
                <w:szCs w:val="20"/>
                <w:lang w:val="pt-BR"/>
              </w:rPr>
              <w:t xml:space="preserve"> </w:t>
            </w:r>
            <w:r w:rsidR="000F20BD">
              <w:rPr>
                <w:sz w:val="20"/>
                <w:szCs w:val="20"/>
                <w:lang w:val="pt-BR"/>
              </w:rPr>
              <w:t>53.2</w:t>
            </w:r>
            <w:r w:rsidR="00857FBA">
              <w:rPr>
                <w:sz w:val="20"/>
                <w:szCs w:val="20"/>
                <w:lang w:val="pt-BR"/>
              </w:rPr>
              <w:t xml:space="preserve"> </w:t>
            </w:r>
            <w:r w:rsidR="000F20BD">
              <w:rPr>
                <w:sz w:val="20"/>
                <w:szCs w:val="20"/>
                <w:lang w:val="pt-BR"/>
              </w:rPr>
              <w:t>b</w:t>
            </w:r>
          </w:p>
        </w:tc>
        <w:tc>
          <w:tcPr>
            <w:tcW w:w="1440" w:type="dxa"/>
            <w:tcBorders>
              <w:left w:val="nil"/>
              <w:right w:val="nil"/>
            </w:tcBorders>
            <w:vAlign w:val="center"/>
          </w:tcPr>
          <w:p w14:paraId="503122AF" w14:textId="021524A7" w:rsidR="00F42DD6" w:rsidRDefault="00F42DD6" w:rsidP="006B523D">
            <w:pPr>
              <w:rPr>
                <w:sz w:val="20"/>
                <w:szCs w:val="20"/>
                <w:lang w:val="pt-BR"/>
              </w:rPr>
            </w:pPr>
            <w:r>
              <w:rPr>
                <w:sz w:val="20"/>
                <w:szCs w:val="20"/>
                <w:lang w:val="pt-BR"/>
              </w:rPr>
              <w:t xml:space="preserve">        </w:t>
            </w:r>
            <w:r w:rsidR="000F20BD">
              <w:rPr>
                <w:sz w:val="20"/>
                <w:szCs w:val="20"/>
                <w:lang w:val="pt-BR"/>
              </w:rPr>
              <w:t>56.5</w:t>
            </w:r>
            <w:r w:rsidR="00857FBA">
              <w:rPr>
                <w:sz w:val="20"/>
                <w:szCs w:val="20"/>
                <w:lang w:val="pt-BR"/>
              </w:rPr>
              <w:t xml:space="preserve"> </w:t>
            </w:r>
            <w:r w:rsidR="000F20BD">
              <w:rPr>
                <w:sz w:val="20"/>
                <w:szCs w:val="20"/>
                <w:lang w:val="pt-BR"/>
              </w:rPr>
              <w:t>b</w:t>
            </w:r>
          </w:p>
        </w:tc>
        <w:tc>
          <w:tcPr>
            <w:tcW w:w="1260" w:type="dxa"/>
            <w:tcBorders>
              <w:left w:val="nil"/>
              <w:right w:val="nil"/>
            </w:tcBorders>
            <w:vAlign w:val="center"/>
          </w:tcPr>
          <w:p w14:paraId="2E961B4D" w14:textId="5C0E8FDC" w:rsidR="00F42DD6" w:rsidRPr="008F593F" w:rsidRDefault="006B523D" w:rsidP="00857FBA">
            <w:pPr>
              <w:jc w:val="center"/>
              <w:rPr>
                <w:sz w:val="20"/>
                <w:szCs w:val="20"/>
                <w:lang w:val="pt-BR"/>
              </w:rPr>
            </w:pPr>
            <w:r>
              <w:rPr>
                <w:sz w:val="20"/>
                <w:szCs w:val="20"/>
                <w:lang w:val="pt-BR"/>
              </w:rPr>
              <w:t xml:space="preserve">   </w:t>
            </w:r>
            <w:r w:rsidR="000F20BD">
              <w:rPr>
                <w:sz w:val="20"/>
                <w:szCs w:val="20"/>
                <w:lang w:val="pt-BR"/>
              </w:rPr>
              <w:t>71.6</w:t>
            </w:r>
            <w:r w:rsidR="00857FBA">
              <w:rPr>
                <w:sz w:val="20"/>
                <w:szCs w:val="20"/>
                <w:lang w:val="pt-BR"/>
              </w:rPr>
              <w:t xml:space="preserve"> a</w:t>
            </w:r>
          </w:p>
        </w:tc>
        <w:tc>
          <w:tcPr>
            <w:tcW w:w="1530" w:type="dxa"/>
            <w:tcBorders>
              <w:left w:val="nil"/>
              <w:right w:val="nil"/>
            </w:tcBorders>
            <w:vAlign w:val="center"/>
          </w:tcPr>
          <w:p w14:paraId="5EE577A7" w14:textId="6CD7D1BC" w:rsidR="00F42DD6" w:rsidRPr="008F593F" w:rsidRDefault="00F42DD6" w:rsidP="006A754C">
            <w:pPr>
              <w:jc w:val="center"/>
              <w:rPr>
                <w:sz w:val="20"/>
                <w:szCs w:val="20"/>
                <w:lang w:val="pt-BR"/>
              </w:rPr>
            </w:pPr>
          </w:p>
        </w:tc>
      </w:tr>
      <w:tr w:rsidR="00763637" w:rsidRPr="008F593F" w14:paraId="50E7ECB7" w14:textId="77777777" w:rsidTr="00763637">
        <w:trPr>
          <w:trHeight w:val="288"/>
          <w:jc w:val="center"/>
        </w:trPr>
        <w:tc>
          <w:tcPr>
            <w:tcW w:w="3420" w:type="dxa"/>
            <w:tcBorders>
              <w:left w:val="nil"/>
              <w:right w:val="nil"/>
            </w:tcBorders>
            <w:vAlign w:val="center"/>
          </w:tcPr>
          <w:p w14:paraId="4F1ECE3F" w14:textId="77777777" w:rsidR="00763637" w:rsidRDefault="00763637" w:rsidP="00AA3ECB">
            <w:pPr>
              <w:rPr>
                <w:sz w:val="20"/>
                <w:szCs w:val="20"/>
                <w:lang w:val="pt-BR"/>
              </w:rPr>
            </w:pPr>
          </w:p>
        </w:tc>
        <w:tc>
          <w:tcPr>
            <w:tcW w:w="5850" w:type="dxa"/>
            <w:gridSpan w:val="4"/>
            <w:tcBorders>
              <w:left w:val="nil"/>
              <w:right w:val="nil"/>
            </w:tcBorders>
            <w:vAlign w:val="center"/>
          </w:tcPr>
          <w:p w14:paraId="179EDFA0" w14:textId="1F6910CF" w:rsidR="00763637" w:rsidRDefault="00763637" w:rsidP="006A754C">
            <w:pPr>
              <w:jc w:val="center"/>
              <w:rPr>
                <w:sz w:val="20"/>
                <w:szCs w:val="20"/>
                <w:lang w:val="pt-BR"/>
              </w:rPr>
            </w:pPr>
            <w:r>
              <w:rPr>
                <w:sz w:val="20"/>
                <w:szCs w:val="20"/>
                <w:lang w:val="pt-BR"/>
              </w:rPr>
              <w:t>Yield (bu/A)</w:t>
            </w:r>
          </w:p>
        </w:tc>
        <w:tc>
          <w:tcPr>
            <w:tcW w:w="1530" w:type="dxa"/>
            <w:tcBorders>
              <w:left w:val="nil"/>
              <w:right w:val="nil"/>
            </w:tcBorders>
            <w:vAlign w:val="center"/>
          </w:tcPr>
          <w:p w14:paraId="6BDB2359" w14:textId="4FA21224" w:rsidR="00763637" w:rsidRDefault="00763637" w:rsidP="006A754C">
            <w:pPr>
              <w:jc w:val="center"/>
              <w:rPr>
                <w:sz w:val="20"/>
                <w:szCs w:val="20"/>
                <w:lang w:val="pt-BR"/>
              </w:rPr>
            </w:pPr>
          </w:p>
        </w:tc>
      </w:tr>
      <w:tr w:rsidR="00F42DD6" w:rsidRPr="008F593F" w14:paraId="5CE9747A" w14:textId="77777777" w:rsidTr="003D1D5F">
        <w:trPr>
          <w:trHeight w:val="288"/>
          <w:jc w:val="center"/>
        </w:trPr>
        <w:tc>
          <w:tcPr>
            <w:tcW w:w="3420" w:type="dxa"/>
            <w:tcBorders>
              <w:left w:val="nil"/>
              <w:right w:val="nil"/>
            </w:tcBorders>
            <w:vAlign w:val="center"/>
          </w:tcPr>
          <w:p w14:paraId="6C710B29" w14:textId="1D93C2CF" w:rsidR="00F42DD6" w:rsidRPr="00350FA5" w:rsidRDefault="00F42DD6" w:rsidP="001B4876">
            <w:pPr>
              <w:rPr>
                <w:sz w:val="20"/>
                <w:szCs w:val="20"/>
              </w:rPr>
            </w:pPr>
            <w:r>
              <w:rPr>
                <w:sz w:val="20"/>
                <w:szCs w:val="20"/>
              </w:rPr>
              <w:t>Non-treated check</w:t>
            </w:r>
          </w:p>
        </w:tc>
        <w:tc>
          <w:tcPr>
            <w:tcW w:w="1530" w:type="dxa"/>
            <w:tcBorders>
              <w:left w:val="nil"/>
              <w:right w:val="nil"/>
            </w:tcBorders>
            <w:vAlign w:val="center"/>
          </w:tcPr>
          <w:p w14:paraId="47C60633" w14:textId="47108527" w:rsidR="00F42DD6" w:rsidRDefault="00A71F3C" w:rsidP="00A71F3C">
            <w:pPr>
              <w:rPr>
                <w:sz w:val="20"/>
                <w:szCs w:val="20"/>
                <w:lang w:val="pt-BR"/>
              </w:rPr>
            </w:pPr>
            <w:r>
              <w:rPr>
                <w:sz w:val="20"/>
                <w:szCs w:val="20"/>
                <w:lang w:val="pt-BR"/>
              </w:rPr>
              <w:t xml:space="preserve">         </w:t>
            </w:r>
            <w:r w:rsidR="00947A66">
              <w:rPr>
                <w:sz w:val="20"/>
                <w:szCs w:val="20"/>
                <w:lang w:val="pt-BR"/>
              </w:rPr>
              <w:t>36.7</w:t>
            </w:r>
          </w:p>
        </w:tc>
        <w:tc>
          <w:tcPr>
            <w:tcW w:w="1620" w:type="dxa"/>
            <w:tcBorders>
              <w:left w:val="nil"/>
              <w:right w:val="nil"/>
            </w:tcBorders>
            <w:vAlign w:val="center"/>
          </w:tcPr>
          <w:p w14:paraId="12E8B85C" w14:textId="6D1F1996" w:rsidR="00F42DD6" w:rsidRDefault="00AC3F92" w:rsidP="003D1D5F">
            <w:pPr>
              <w:rPr>
                <w:sz w:val="20"/>
                <w:szCs w:val="20"/>
                <w:lang w:val="pt-BR"/>
              </w:rPr>
            </w:pPr>
            <w:r>
              <w:rPr>
                <w:sz w:val="20"/>
                <w:szCs w:val="20"/>
                <w:lang w:val="pt-BR"/>
              </w:rPr>
              <w:t xml:space="preserve">        </w:t>
            </w:r>
            <w:r w:rsidR="00AC47F5">
              <w:rPr>
                <w:sz w:val="20"/>
                <w:szCs w:val="20"/>
                <w:lang w:val="pt-BR"/>
              </w:rPr>
              <w:t xml:space="preserve"> </w:t>
            </w:r>
            <w:r w:rsidR="00032B18">
              <w:rPr>
                <w:sz w:val="20"/>
                <w:szCs w:val="20"/>
                <w:lang w:val="pt-BR"/>
              </w:rPr>
              <w:t xml:space="preserve"> </w:t>
            </w:r>
            <w:r w:rsidR="00947A66">
              <w:rPr>
                <w:sz w:val="20"/>
                <w:szCs w:val="20"/>
                <w:lang w:val="pt-BR"/>
              </w:rPr>
              <w:t>40.5</w:t>
            </w:r>
          </w:p>
        </w:tc>
        <w:tc>
          <w:tcPr>
            <w:tcW w:w="1440" w:type="dxa"/>
            <w:tcBorders>
              <w:left w:val="nil"/>
              <w:right w:val="nil"/>
            </w:tcBorders>
            <w:vAlign w:val="center"/>
          </w:tcPr>
          <w:p w14:paraId="04F54F22" w14:textId="6AEE0E1E" w:rsidR="00F42DD6" w:rsidRDefault="003D1D5F" w:rsidP="00AC47F5">
            <w:pPr>
              <w:rPr>
                <w:sz w:val="20"/>
                <w:szCs w:val="20"/>
                <w:lang w:val="pt-BR"/>
              </w:rPr>
            </w:pPr>
            <w:r>
              <w:rPr>
                <w:sz w:val="20"/>
                <w:szCs w:val="20"/>
                <w:lang w:val="pt-BR"/>
              </w:rPr>
              <w:t xml:space="preserve">      </w:t>
            </w:r>
            <w:r w:rsidR="00A71F3C">
              <w:rPr>
                <w:sz w:val="20"/>
                <w:szCs w:val="20"/>
                <w:lang w:val="pt-BR"/>
              </w:rPr>
              <w:t xml:space="preserve"> </w:t>
            </w:r>
            <w:r>
              <w:rPr>
                <w:sz w:val="20"/>
                <w:szCs w:val="20"/>
                <w:lang w:val="pt-BR"/>
              </w:rPr>
              <w:t xml:space="preserve"> </w:t>
            </w:r>
            <w:r w:rsidR="00947A66">
              <w:rPr>
                <w:sz w:val="20"/>
                <w:szCs w:val="20"/>
                <w:lang w:val="pt-BR"/>
              </w:rPr>
              <w:t>40.6</w:t>
            </w:r>
          </w:p>
        </w:tc>
        <w:tc>
          <w:tcPr>
            <w:tcW w:w="1260" w:type="dxa"/>
            <w:tcBorders>
              <w:left w:val="nil"/>
              <w:right w:val="nil"/>
            </w:tcBorders>
            <w:vAlign w:val="center"/>
          </w:tcPr>
          <w:p w14:paraId="1F822142" w14:textId="570CFCA3" w:rsidR="00F42DD6" w:rsidRDefault="00AC47F5" w:rsidP="00AC47F5">
            <w:pPr>
              <w:rPr>
                <w:sz w:val="20"/>
                <w:szCs w:val="20"/>
                <w:lang w:val="pt-BR"/>
              </w:rPr>
            </w:pPr>
            <w:r>
              <w:rPr>
                <w:sz w:val="20"/>
                <w:szCs w:val="20"/>
                <w:lang w:val="pt-BR"/>
              </w:rPr>
              <w:t xml:space="preserve">       </w:t>
            </w:r>
            <w:r w:rsidR="0004726B">
              <w:rPr>
                <w:sz w:val="20"/>
                <w:szCs w:val="20"/>
                <w:lang w:val="pt-BR"/>
              </w:rPr>
              <w:t>38.4</w:t>
            </w:r>
          </w:p>
        </w:tc>
        <w:tc>
          <w:tcPr>
            <w:tcW w:w="1530" w:type="dxa"/>
            <w:tcBorders>
              <w:left w:val="nil"/>
              <w:right w:val="nil"/>
            </w:tcBorders>
            <w:vAlign w:val="center"/>
          </w:tcPr>
          <w:p w14:paraId="048E29E2" w14:textId="535350F2" w:rsidR="00F42DD6" w:rsidRDefault="00C248BB" w:rsidP="00CF0DA8">
            <w:pPr>
              <w:jc w:val="center"/>
              <w:rPr>
                <w:sz w:val="20"/>
                <w:szCs w:val="20"/>
                <w:lang w:val="pt-BR"/>
              </w:rPr>
            </w:pPr>
            <w:r>
              <w:rPr>
                <w:sz w:val="20"/>
                <w:szCs w:val="20"/>
                <w:lang w:val="pt-BR"/>
              </w:rPr>
              <w:t xml:space="preserve"> 39.0 a</w:t>
            </w:r>
            <w:r w:rsidRPr="00132ED0">
              <w:rPr>
                <w:sz w:val="20"/>
                <w:szCs w:val="20"/>
                <w:vertAlign w:val="superscript"/>
              </w:rPr>
              <w:t>x</w:t>
            </w:r>
          </w:p>
        </w:tc>
      </w:tr>
      <w:tr w:rsidR="00F42DD6" w:rsidRPr="008F593F" w14:paraId="7ABBC76A" w14:textId="77777777" w:rsidTr="003D1D5F">
        <w:trPr>
          <w:trHeight w:val="288"/>
          <w:jc w:val="center"/>
        </w:trPr>
        <w:tc>
          <w:tcPr>
            <w:tcW w:w="3420" w:type="dxa"/>
            <w:tcBorders>
              <w:left w:val="nil"/>
              <w:right w:val="nil"/>
            </w:tcBorders>
            <w:vAlign w:val="center"/>
          </w:tcPr>
          <w:p w14:paraId="6CD11284" w14:textId="01A0E36D" w:rsidR="00F42DD6" w:rsidRDefault="00F42DD6" w:rsidP="00F42DD6">
            <w:pPr>
              <w:rPr>
                <w:sz w:val="20"/>
                <w:szCs w:val="20"/>
                <w:lang w:val="pt-BR"/>
              </w:rPr>
            </w:pPr>
            <w:r>
              <w:rPr>
                <w:sz w:val="20"/>
                <w:szCs w:val="20"/>
                <w:lang w:val="pt-BR"/>
              </w:rPr>
              <w:t>CruiserMaxx Vibrance 2.49F 3.2 fl oz</w:t>
            </w:r>
          </w:p>
        </w:tc>
        <w:tc>
          <w:tcPr>
            <w:tcW w:w="1530" w:type="dxa"/>
            <w:tcBorders>
              <w:left w:val="nil"/>
              <w:right w:val="nil"/>
            </w:tcBorders>
            <w:vAlign w:val="center"/>
          </w:tcPr>
          <w:p w14:paraId="0806495B" w14:textId="36EBD7B8" w:rsidR="00F42DD6" w:rsidRDefault="00A71F3C" w:rsidP="00A71F3C">
            <w:pPr>
              <w:rPr>
                <w:sz w:val="20"/>
                <w:szCs w:val="20"/>
                <w:lang w:val="pt-BR"/>
              </w:rPr>
            </w:pPr>
            <w:r>
              <w:rPr>
                <w:sz w:val="20"/>
                <w:szCs w:val="20"/>
                <w:lang w:val="pt-BR"/>
              </w:rPr>
              <w:t xml:space="preserve">         </w:t>
            </w:r>
            <w:r w:rsidR="00947A66">
              <w:rPr>
                <w:sz w:val="20"/>
                <w:szCs w:val="20"/>
                <w:lang w:val="pt-BR"/>
              </w:rPr>
              <w:t>36.6</w:t>
            </w:r>
          </w:p>
        </w:tc>
        <w:tc>
          <w:tcPr>
            <w:tcW w:w="1620" w:type="dxa"/>
            <w:tcBorders>
              <w:left w:val="nil"/>
              <w:right w:val="nil"/>
            </w:tcBorders>
            <w:vAlign w:val="center"/>
          </w:tcPr>
          <w:p w14:paraId="45DA7677" w14:textId="046B3866" w:rsidR="00F42DD6" w:rsidRDefault="00AC3F92" w:rsidP="00CF0DA8">
            <w:pPr>
              <w:rPr>
                <w:sz w:val="20"/>
                <w:szCs w:val="20"/>
                <w:lang w:val="pt-BR"/>
              </w:rPr>
            </w:pPr>
            <w:r>
              <w:rPr>
                <w:sz w:val="20"/>
                <w:szCs w:val="20"/>
                <w:lang w:val="pt-BR"/>
              </w:rPr>
              <w:t xml:space="preserve">        </w:t>
            </w:r>
            <w:r w:rsidR="00AC47F5">
              <w:rPr>
                <w:sz w:val="20"/>
                <w:szCs w:val="20"/>
                <w:lang w:val="pt-BR"/>
              </w:rPr>
              <w:t xml:space="preserve"> </w:t>
            </w:r>
            <w:r w:rsidR="00032B18">
              <w:rPr>
                <w:sz w:val="20"/>
                <w:szCs w:val="20"/>
                <w:lang w:val="pt-BR"/>
              </w:rPr>
              <w:t xml:space="preserve"> </w:t>
            </w:r>
            <w:r w:rsidR="00947A66">
              <w:rPr>
                <w:sz w:val="20"/>
                <w:szCs w:val="20"/>
                <w:lang w:val="pt-BR"/>
              </w:rPr>
              <w:t>39.3</w:t>
            </w:r>
          </w:p>
        </w:tc>
        <w:tc>
          <w:tcPr>
            <w:tcW w:w="1440" w:type="dxa"/>
            <w:tcBorders>
              <w:left w:val="nil"/>
              <w:right w:val="nil"/>
            </w:tcBorders>
            <w:vAlign w:val="center"/>
          </w:tcPr>
          <w:p w14:paraId="2F29F955" w14:textId="30EBB266" w:rsidR="00F42DD6" w:rsidRDefault="003D1D5F" w:rsidP="00AC47F5">
            <w:pPr>
              <w:rPr>
                <w:sz w:val="20"/>
                <w:szCs w:val="20"/>
                <w:lang w:val="pt-BR"/>
              </w:rPr>
            </w:pPr>
            <w:r>
              <w:rPr>
                <w:sz w:val="20"/>
                <w:szCs w:val="20"/>
                <w:lang w:val="pt-BR"/>
              </w:rPr>
              <w:t xml:space="preserve">      </w:t>
            </w:r>
            <w:r w:rsidR="00A71F3C">
              <w:rPr>
                <w:sz w:val="20"/>
                <w:szCs w:val="20"/>
                <w:lang w:val="pt-BR"/>
              </w:rPr>
              <w:t xml:space="preserve"> </w:t>
            </w:r>
            <w:r>
              <w:rPr>
                <w:sz w:val="20"/>
                <w:szCs w:val="20"/>
                <w:lang w:val="pt-BR"/>
              </w:rPr>
              <w:t xml:space="preserve"> </w:t>
            </w:r>
            <w:r w:rsidR="00947A66">
              <w:rPr>
                <w:sz w:val="20"/>
                <w:szCs w:val="20"/>
                <w:lang w:val="pt-BR"/>
              </w:rPr>
              <w:t>38.5</w:t>
            </w:r>
          </w:p>
        </w:tc>
        <w:tc>
          <w:tcPr>
            <w:tcW w:w="1260" w:type="dxa"/>
            <w:tcBorders>
              <w:left w:val="nil"/>
              <w:right w:val="nil"/>
            </w:tcBorders>
            <w:vAlign w:val="center"/>
          </w:tcPr>
          <w:p w14:paraId="3F0BCC5C" w14:textId="7BBD2B70" w:rsidR="00F42DD6" w:rsidRDefault="00AC47F5" w:rsidP="00AC47F5">
            <w:pPr>
              <w:rPr>
                <w:sz w:val="20"/>
                <w:szCs w:val="20"/>
                <w:lang w:val="pt-BR"/>
              </w:rPr>
            </w:pPr>
            <w:r>
              <w:rPr>
                <w:sz w:val="20"/>
                <w:szCs w:val="20"/>
                <w:lang w:val="pt-BR"/>
              </w:rPr>
              <w:t xml:space="preserve">       </w:t>
            </w:r>
            <w:r w:rsidR="0004726B">
              <w:rPr>
                <w:sz w:val="20"/>
                <w:szCs w:val="20"/>
                <w:lang w:val="pt-BR"/>
              </w:rPr>
              <w:t>40.4</w:t>
            </w:r>
          </w:p>
        </w:tc>
        <w:tc>
          <w:tcPr>
            <w:tcW w:w="1530" w:type="dxa"/>
            <w:tcBorders>
              <w:left w:val="nil"/>
              <w:right w:val="nil"/>
            </w:tcBorders>
            <w:vAlign w:val="center"/>
          </w:tcPr>
          <w:p w14:paraId="2DC85D9B" w14:textId="6D355701" w:rsidR="00F42DD6" w:rsidRDefault="00C248BB" w:rsidP="0061545D">
            <w:pPr>
              <w:jc w:val="center"/>
              <w:rPr>
                <w:sz w:val="20"/>
                <w:szCs w:val="20"/>
                <w:lang w:val="pt-BR"/>
              </w:rPr>
            </w:pPr>
            <w:r>
              <w:rPr>
                <w:sz w:val="20"/>
                <w:szCs w:val="20"/>
                <w:lang w:val="pt-BR"/>
              </w:rPr>
              <w:t>38.7 a</w:t>
            </w:r>
          </w:p>
        </w:tc>
      </w:tr>
      <w:tr w:rsidR="00F42DD6" w:rsidRPr="008F593F" w14:paraId="05D627D4" w14:textId="77777777" w:rsidTr="003D1D5F">
        <w:trPr>
          <w:trHeight w:val="288"/>
          <w:jc w:val="center"/>
        </w:trPr>
        <w:tc>
          <w:tcPr>
            <w:tcW w:w="3420" w:type="dxa"/>
            <w:tcBorders>
              <w:left w:val="nil"/>
              <w:right w:val="nil"/>
            </w:tcBorders>
            <w:vAlign w:val="center"/>
          </w:tcPr>
          <w:p w14:paraId="10DE31FC" w14:textId="1FFF5A6B" w:rsidR="00F42DD6" w:rsidRDefault="00F42DD6" w:rsidP="00AC3F92">
            <w:pPr>
              <w:rPr>
                <w:sz w:val="20"/>
                <w:szCs w:val="20"/>
                <w:lang w:val="pt-BR"/>
              </w:rPr>
            </w:pPr>
            <w:r>
              <w:rPr>
                <w:sz w:val="20"/>
                <w:szCs w:val="20"/>
                <w:lang w:val="pt-BR"/>
              </w:rPr>
              <w:t>ApronMaxx+Moly RTA 0.16F 5 fl oz</w:t>
            </w:r>
          </w:p>
        </w:tc>
        <w:tc>
          <w:tcPr>
            <w:tcW w:w="1530" w:type="dxa"/>
            <w:tcBorders>
              <w:left w:val="nil"/>
              <w:right w:val="nil"/>
            </w:tcBorders>
            <w:vAlign w:val="center"/>
          </w:tcPr>
          <w:p w14:paraId="3730496B" w14:textId="4AE3C280" w:rsidR="00F42DD6" w:rsidRDefault="00A71F3C" w:rsidP="00A71F3C">
            <w:pPr>
              <w:rPr>
                <w:sz w:val="20"/>
                <w:szCs w:val="20"/>
                <w:lang w:val="pt-BR"/>
              </w:rPr>
            </w:pPr>
            <w:r>
              <w:rPr>
                <w:sz w:val="20"/>
                <w:szCs w:val="20"/>
                <w:lang w:val="pt-BR"/>
              </w:rPr>
              <w:t xml:space="preserve">         </w:t>
            </w:r>
            <w:r w:rsidR="00947A66">
              <w:rPr>
                <w:sz w:val="20"/>
                <w:szCs w:val="20"/>
                <w:lang w:val="pt-BR"/>
              </w:rPr>
              <w:t>36.2</w:t>
            </w:r>
          </w:p>
        </w:tc>
        <w:tc>
          <w:tcPr>
            <w:tcW w:w="1620" w:type="dxa"/>
            <w:tcBorders>
              <w:left w:val="nil"/>
              <w:right w:val="nil"/>
            </w:tcBorders>
            <w:vAlign w:val="center"/>
          </w:tcPr>
          <w:p w14:paraId="527D628A" w14:textId="2ECB2E45" w:rsidR="00F42DD6" w:rsidRDefault="00AC3F92" w:rsidP="00CF0DA8">
            <w:pPr>
              <w:rPr>
                <w:sz w:val="20"/>
                <w:szCs w:val="20"/>
                <w:lang w:val="pt-BR"/>
              </w:rPr>
            </w:pPr>
            <w:r>
              <w:rPr>
                <w:sz w:val="20"/>
                <w:szCs w:val="20"/>
                <w:lang w:val="pt-BR"/>
              </w:rPr>
              <w:t xml:space="preserve">        </w:t>
            </w:r>
            <w:r w:rsidR="00AC47F5">
              <w:rPr>
                <w:sz w:val="20"/>
                <w:szCs w:val="20"/>
                <w:lang w:val="pt-BR"/>
              </w:rPr>
              <w:t xml:space="preserve"> </w:t>
            </w:r>
            <w:r w:rsidR="00032B18">
              <w:rPr>
                <w:sz w:val="20"/>
                <w:szCs w:val="20"/>
                <w:lang w:val="pt-BR"/>
              </w:rPr>
              <w:t xml:space="preserve"> </w:t>
            </w:r>
            <w:r w:rsidR="00CF0DA8">
              <w:rPr>
                <w:sz w:val="20"/>
                <w:szCs w:val="20"/>
                <w:lang w:val="pt-BR"/>
              </w:rPr>
              <w:t>3</w:t>
            </w:r>
            <w:r w:rsidR="00947A66">
              <w:rPr>
                <w:sz w:val="20"/>
                <w:szCs w:val="20"/>
                <w:lang w:val="pt-BR"/>
              </w:rPr>
              <w:t>8.0</w:t>
            </w:r>
          </w:p>
        </w:tc>
        <w:tc>
          <w:tcPr>
            <w:tcW w:w="1440" w:type="dxa"/>
            <w:tcBorders>
              <w:left w:val="nil"/>
              <w:right w:val="nil"/>
            </w:tcBorders>
            <w:vAlign w:val="center"/>
          </w:tcPr>
          <w:p w14:paraId="2F3A2BB7" w14:textId="1A5B7081" w:rsidR="00F42DD6" w:rsidRDefault="003D1D5F" w:rsidP="00AC47F5">
            <w:pPr>
              <w:rPr>
                <w:sz w:val="20"/>
                <w:szCs w:val="20"/>
                <w:lang w:val="pt-BR"/>
              </w:rPr>
            </w:pPr>
            <w:r>
              <w:rPr>
                <w:sz w:val="20"/>
                <w:szCs w:val="20"/>
                <w:lang w:val="pt-BR"/>
              </w:rPr>
              <w:t xml:space="preserve">       </w:t>
            </w:r>
            <w:r w:rsidR="00A71F3C">
              <w:rPr>
                <w:sz w:val="20"/>
                <w:szCs w:val="20"/>
                <w:lang w:val="pt-BR"/>
              </w:rPr>
              <w:t xml:space="preserve"> </w:t>
            </w:r>
            <w:r w:rsidR="00947A66">
              <w:rPr>
                <w:sz w:val="20"/>
                <w:szCs w:val="20"/>
                <w:lang w:val="pt-BR"/>
              </w:rPr>
              <w:t>36.4</w:t>
            </w:r>
          </w:p>
        </w:tc>
        <w:tc>
          <w:tcPr>
            <w:tcW w:w="1260" w:type="dxa"/>
            <w:tcBorders>
              <w:left w:val="nil"/>
              <w:right w:val="nil"/>
            </w:tcBorders>
            <w:vAlign w:val="center"/>
          </w:tcPr>
          <w:p w14:paraId="513A05FF" w14:textId="55986DB4" w:rsidR="00F42DD6" w:rsidRDefault="00AC47F5" w:rsidP="00AC47F5">
            <w:pPr>
              <w:rPr>
                <w:sz w:val="20"/>
                <w:szCs w:val="20"/>
                <w:lang w:val="pt-BR"/>
              </w:rPr>
            </w:pPr>
            <w:r>
              <w:rPr>
                <w:sz w:val="20"/>
                <w:szCs w:val="20"/>
                <w:lang w:val="pt-BR"/>
              </w:rPr>
              <w:t xml:space="preserve">       </w:t>
            </w:r>
            <w:r w:rsidR="0004726B">
              <w:rPr>
                <w:sz w:val="20"/>
                <w:szCs w:val="20"/>
                <w:lang w:val="pt-BR"/>
              </w:rPr>
              <w:t>41.1</w:t>
            </w:r>
          </w:p>
        </w:tc>
        <w:tc>
          <w:tcPr>
            <w:tcW w:w="1530" w:type="dxa"/>
            <w:tcBorders>
              <w:left w:val="nil"/>
              <w:right w:val="nil"/>
            </w:tcBorders>
            <w:vAlign w:val="center"/>
          </w:tcPr>
          <w:p w14:paraId="0B16D42B" w14:textId="78EFE697" w:rsidR="00F42DD6" w:rsidRDefault="00C248BB" w:rsidP="0061545D">
            <w:pPr>
              <w:jc w:val="center"/>
              <w:rPr>
                <w:sz w:val="20"/>
                <w:szCs w:val="20"/>
                <w:lang w:val="pt-BR"/>
              </w:rPr>
            </w:pPr>
            <w:r>
              <w:rPr>
                <w:sz w:val="20"/>
                <w:szCs w:val="20"/>
                <w:lang w:val="pt-BR"/>
              </w:rPr>
              <w:t>37.9 a</w:t>
            </w:r>
          </w:p>
        </w:tc>
      </w:tr>
      <w:tr w:rsidR="00F42DD6" w:rsidRPr="008F593F" w14:paraId="19DDD5A0" w14:textId="77777777" w:rsidTr="003D1D5F">
        <w:trPr>
          <w:trHeight w:val="288"/>
          <w:jc w:val="center"/>
        </w:trPr>
        <w:tc>
          <w:tcPr>
            <w:tcW w:w="3420" w:type="dxa"/>
            <w:tcBorders>
              <w:left w:val="nil"/>
              <w:right w:val="nil"/>
            </w:tcBorders>
            <w:vAlign w:val="center"/>
          </w:tcPr>
          <w:p w14:paraId="02396FE2" w14:textId="3C18A4FF" w:rsidR="00F42DD6" w:rsidRDefault="00F42DD6" w:rsidP="00451435">
            <w:pPr>
              <w:rPr>
                <w:sz w:val="20"/>
                <w:szCs w:val="20"/>
                <w:lang w:val="pt-BR"/>
              </w:rPr>
            </w:pPr>
            <w:r>
              <w:rPr>
                <w:sz w:val="20"/>
                <w:szCs w:val="20"/>
                <w:lang w:val="pt-BR"/>
              </w:rPr>
              <w:t>average</w:t>
            </w:r>
            <w:r w:rsidR="003650FE">
              <w:rPr>
                <w:sz w:val="20"/>
                <w:szCs w:val="20"/>
                <w:vertAlign w:val="superscript"/>
                <w:lang w:val="pt-BR"/>
              </w:rPr>
              <w:t>y</w:t>
            </w:r>
          </w:p>
        </w:tc>
        <w:tc>
          <w:tcPr>
            <w:tcW w:w="1530" w:type="dxa"/>
            <w:tcBorders>
              <w:left w:val="nil"/>
              <w:right w:val="nil"/>
            </w:tcBorders>
            <w:vAlign w:val="center"/>
          </w:tcPr>
          <w:p w14:paraId="7085EA7E" w14:textId="083F6C13" w:rsidR="00F42DD6" w:rsidRDefault="00AC3F92" w:rsidP="00A71F3C">
            <w:pPr>
              <w:rPr>
                <w:sz w:val="20"/>
                <w:szCs w:val="20"/>
                <w:lang w:val="pt-BR"/>
              </w:rPr>
            </w:pPr>
            <w:r>
              <w:rPr>
                <w:sz w:val="20"/>
                <w:szCs w:val="20"/>
                <w:lang w:val="pt-BR"/>
              </w:rPr>
              <w:t xml:space="preserve">        </w:t>
            </w:r>
            <w:r w:rsidR="00A71F3C">
              <w:rPr>
                <w:sz w:val="20"/>
                <w:szCs w:val="20"/>
                <w:lang w:val="pt-BR"/>
              </w:rPr>
              <w:t xml:space="preserve"> </w:t>
            </w:r>
            <w:r w:rsidR="00A14BFF">
              <w:rPr>
                <w:sz w:val="20"/>
                <w:szCs w:val="20"/>
                <w:lang w:val="pt-BR"/>
              </w:rPr>
              <w:t>36.5</w:t>
            </w:r>
            <w:r w:rsidR="00C248BB">
              <w:rPr>
                <w:sz w:val="20"/>
                <w:szCs w:val="20"/>
                <w:lang w:val="pt-BR"/>
              </w:rPr>
              <w:t xml:space="preserve"> b</w:t>
            </w:r>
            <w:r w:rsidR="00947A66" w:rsidRPr="003650FE">
              <w:rPr>
                <w:sz w:val="20"/>
                <w:szCs w:val="20"/>
                <w:vertAlign w:val="superscript"/>
                <w:lang w:val="pt-BR"/>
              </w:rPr>
              <w:t>x</w:t>
            </w:r>
          </w:p>
        </w:tc>
        <w:tc>
          <w:tcPr>
            <w:tcW w:w="1620" w:type="dxa"/>
            <w:tcBorders>
              <w:left w:val="nil"/>
              <w:right w:val="nil"/>
            </w:tcBorders>
            <w:vAlign w:val="center"/>
          </w:tcPr>
          <w:p w14:paraId="5C81E939" w14:textId="58A381BE" w:rsidR="00F42DD6" w:rsidRDefault="00AC3F92" w:rsidP="003D1D5F">
            <w:pPr>
              <w:rPr>
                <w:sz w:val="20"/>
                <w:szCs w:val="20"/>
                <w:lang w:val="pt-BR"/>
              </w:rPr>
            </w:pPr>
            <w:r>
              <w:rPr>
                <w:sz w:val="20"/>
                <w:szCs w:val="20"/>
                <w:lang w:val="pt-BR"/>
              </w:rPr>
              <w:t xml:space="preserve">        </w:t>
            </w:r>
            <w:r w:rsidR="00AC47F5">
              <w:rPr>
                <w:sz w:val="20"/>
                <w:szCs w:val="20"/>
                <w:lang w:val="pt-BR"/>
              </w:rPr>
              <w:t xml:space="preserve"> </w:t>
            </w:r>
            <w:r w:rsidR="00032B18">
              <w:rPr>
                <w:sz w:val="20"/>
                <w:szCs w:val="20"/>
                <w:lang w:val="pt-BR"/>
              </w:rPr>
              <w:t xml:space="preserve"> </w:t>
            </w:r>
            <w:r w:rsidR="0061545D">
              <w:rPr>
                <w:sz w:val="20"/>
                <w:szCs w:val="20"/>
                <w:lang w:val="pt-BR"/>
              </w:rPr>
              <w:t>3</w:t>
            </w:r>
            <w:r w:rsidR="00C248BB">
              <w:rPr>
                <w:sz w:val="20"/>
                <w:szCs w:val="20"/>
                <w:lang w:val="pt-BR"/>
              </w:rPr>
              <w:t>9.3 ab</w:t>
            </w:r>
          </w:p>
        </w:tc>
        <w:tc>
          <w:tcPr>
            <w:tcW w:w="1440" w:type="dxa"/>
            <w:tcBorders>
              <w:left w:val="nil"/>
              <w:right w:val="nil"/>
            </w:tcBorders>
            <w:vAlign w:val="center"/>
          </w:tcPr>
          <w:p w14:paraId="7EDD0D70" w14:textId="6B42FC36" w:rsidR="00F42DD6" w:rsidRDefault="003D1D5F" w:rsidP="00AC47F5">
            <w:pPr>
              <w:rPr>
                <w:sz w:val="20"/>
                <w:szCs w:val="20"/>
                <w:lang w:val="pt-BR"/>
              </w:rPr>
            </w:pPr>
            <w:r>
              <w:rPr>
                <w:sz w:val="20"/>
                <w:szCs w:val="20"/>
                <w:lang w:val="pt-BR"/>
              </w:rPr>
              <w:t xml:space="preserve">       </w:t>
            </w:r>
            <w:r w:rsidR="00A71F3C">
              <w:rPr>
                <w:sz w:val="20"/>
                <w:szCs w:val="20"/>
                <w:lang w:val="pt-BR"/>
              </w:rPr>
              <w:t xml:space="preserve"> </w:t>
            </w:r>
            <w:r w:rsidR="00C248BB">
              <w:rPr>
                <w:sz w:val="20"/>
                <w:szCs w:val="20"/>
                <w:lang w:val="pt-BR"/>
              </w:rPr>
              <w:t>3</w:t>
            </w:r>
            <w:r w:rsidR="0061545D">
              <w:rPr>
                <w:sz w:val="20"/>
                <w:szCs w:val="20"/>
                <w:lang w:val="pt-BR"/>
              </w:rPr>
              <w:t>8.5</w:t>
            </w:r>
            <w:r w:rsidR="00C248BB">
              <w:rPr>
                <w:sz w:val="20"/>
                <w:szCs w:val="20"/>
                <w:lang w:val="pt-BR"/>
              </w:rPr>
              <w:t xml:space="preserve"> ab</w:t>
            </w:r>
          </w:p>
        </w:tc>
        <w:tc>
          <w:tcPr>
            <w:tcW w:w="1260" w:type="dxa"/>
            <w:tcBorders>
              <w:left w:val="nil"/>
              <w:right w:val="nil"/>
            </w:tcBorders>
            <w:vAlign w:val="center"/>
          </w:tcPr>
          <w:p w14:paraId="671464F5" w14:textId="5E147AE4" w:rsidR="00F42DD6" w:rsidRDefault="00AC47F5" w:rsidP="00AC47F5">
            <w:pPr>
              <w:rPr>
                <w:sz w:val="20"/>
                <w:szCs w:val="20"/>
                <w:lang w:val="pt-BR"/>
              </w:rPr>
            </w:pPr>
            <w:r>
              <w:rPr>
                <w:sz w:val="20"/>
                <w:szCs w:val="20"/>
                <w:lang w:val="pt-BR"/>
              </w:rPr>
              <w:t xml:space="preserve">       </w:t>
            </w:r>
            <w:r w:rsidR="00C248BB">
              <w:rPr>
                <w:sz w:val="20"/>
                <w:szCs w:val="20"/>
                <w:lang w:val="pt-BR"/>
              </w:rPr>
              <w:t>40.0 a</w:t>
            </w:r>
          </w:p>
        </w:tc>
        <w:tc>
          <w:tcPr>
            <w:tcW w:w="1530" w:type="dxa"/>
            <w:tcBorders>
              <w:left w:val="nil"/>
              <w:right w:val="nil"/>
            </w:tcBorders>
            <w:vAlign w:val="center"/>
          </w:tcPr>
          <w:p w14:paraId="632EEA42" w14:textId="3A04D962" w:rsidR="00F42DD6" w:rsidRDefault="00F42DD6" w:rsidP="00C24DB9">
            <w:pPr>
              <w:rPr>
                <w:sz w:val="20"/>
                <w:szCs w:val="20"/>
                <w:lang w:val="pt-BR"/>
              </w:rPr>
            </w:pPr>
          </w:p>
        </w:tc>
      </w:tr>
    </w:tbl>
    <w:p w14:paraId="0280E48A" w14:textId="72AE5B45" w:rsidR="00132ED0" w:rsidRDefault="00132ED0" w:rsidP="00132ED0">
      <w:pPr>
        <w:tabs>
          <w:tab w:val="left" w:leader="dot" w:pos="4500"/>
        </w:tabs>
        <w:ind w:left="180" w:hanging="180"/>
        <w:rPr>
          <w:sz w:val="20"/>
          <w:szCs w:val="20"/>
        </w:rPr>
      </w:pPr>
      <w:r w:rsidRPr="00DC1E9F">
        <w:rPr>
          <w:sz w:val="20"/>
          <w:szCs w:val="20"/>
          <w:vertAlign w:val="superscript"/>
        </w:rPr>
        <w:t>z</w:t>
      </w:r>
      <w:r>
        <w:rPr>
          <w:sz w:val="20"/>
          <w:szCs w:val="20"/>
        </w:rPr>
        <w:tab/>
        <w:t>Averaged over seeding rate.</w:t>
      </w:r>
    </w:p>
    <w:p w14:paraId="24B6046B" w14:textId="6A27EEC3" w:rsidR="00132ED0" w:rsidRDefault="00132ED0" w:rsidP="00132ED0">
      <w:pPr>
        <w:tabs>
          <w:tab w:val="left" w:leader="dot" w:pos="4500"/>
        </w:tabs>
        <w:ind w:left="180" w:hanging="180"/>
        <w:rPr>
          <w:sz w:val="20"/>
          <w:szCs w:val="20"/>
        </w:rPr>
      </w:pPr>
      <w:r w:rsidRPr="00DC1E9F">
        <w:rPr>
          <w:sz w:val="20"/>
          <w:szCs w:val="20"/>
          <w:vertAlign w:val="superscript"/>
        </w:rPr>
        <w:t>y</w:t>
      </w:r>
      <w:r w:rsidRPr="00DC1E9F">
        <w:rPr>
          <w:sz w:val="20"/>
          <w:szCs w:val="20"/>
        </w:rPr>
        <w:t xml:space="preserve"> </w:t>
      </w:r>
      <w:r>
        <w:rPr>
          <w:sz w:val="20"/>
          <w:szCs w:val="20"/>
        </w:rPr>
        <w:tab/>
        <w:t>Averaged over treatment.</w:t>
      </w:r>
    </w:p>
    <w:p w14:paraId="25F0655F" w14:textId="699FC7CD" w:rsidR="00132ED0" w:rsidRPr="005B3548" w:rsidRDefault="00132ED0" w:rsidP="00132ED0">
      <w:pPr>
        <w:tabs>
          <w:tab w:val="left" w:leader="dot" w:pos="4500"/>
        </w:tabs>
        <w:ind w:left="180" w:hanging="180"/>
        <w:rPr>
          <w:sz w:val="20"/>
          <w:szCs w:val="20"/>
        </w:rPr>
      </w:pPr>
      <w:r w:rsidRPr="00132ED0">
        <w:rPr>
          <w:sz w:val="20"/>
          <w:szCs w:val="20"/>
          <w:vertAlign w:val="superscript"/>
        </w:rPr>
        <w:t>x</w:t>
      </w:r>
      <w:r>
        <w:rPr>
          <w:sz w:val="20"/>
          <w:szCs w:val="20"/>
        </w:rPr>
        <w:tab/>
        <w:t xml:space="preserve">Values in a column or row followed by the same letter are not statistically different at </w:t>
      </w:r>
      <w:r w:rsidRPr="00512BAF">
        <w:rPr>
          <w:sz w:val="20"/>
          <w:szCs w:val="20"/>
        </w:rPr>
        <w:t>P</w:t>
      </w:r>
      <w:r>
        <w:rPr>
          <w:sz w:val="20"/>
          <w:szCs w:val="20"/>
        </w:rPr>
        <w:t>=0.05.</w:t>
      </w:r>
    </w:p>
    <w:p w14:paraId="48AB25E1" w14:textId="77777777" w:rsidR="00132ED0" w:rsidRDefault="00132ED0">
      <w:pPr>
        <w:jc w:val="center"/>
      </w:pPr>
    </w:p>
    <w:p w14:paraId="745645C6" w14:textId="482616E2" w:rsidR="00132ED0" w:rsidRDefault="00047E0E" w:rsidP="00047E0E">
      <w:pPr>
        <w:ind w:firstLine="720"/>
        <w:rPr>
          <w:sz w:val="20"/>
          <w:szCs w:val="20"/>
        </w:rPr>
      </w:pPr>
      <w:r>
        <w:rPr>
          <w:sz w:val="20"/>
          <w:szCs w:val="20"/>
        </w:rPr>
        <w:t xml:space="preserve">Over 2 inches of rain was received with the first week after planting for the late planting date on 2 July.  Emergence again was fair averaging from 65% to 73% over the planting rates. Plant populations were increased stepwise for each seeding rate. Seed treatments performed similarly over the seeding rates (Table 2). Cruiser Maxx increased plant populations by an average of 22%. ApronMaxx increased populations by 5% but the response was not statistically significant. Yields were similar for each of the seeding rates, but seed treatments did not have a beneficial effect on yield. Seed treatment with CruiserMaxx generally increased plant population and was more effective than ApronMaxx, but increases in plant population did not produce corresponding yield responses. </w:t>
      </w:r>
    </w:p>
    <w:p w14:paraId="2CBFB5A4" w14:textId="77777777" w:rsidR="00132ED0" w:rsidRDefault="00132ED0" w:rsidP="00132ED0">
      <w:pPr>
        <w:rPr>
          <w:sz w:val="20"/>
          <w:szCs w:val="20"/>
        </w:rPr>
      </w:pPr>
    </w:p>
    <w:p w14:paraId="51A82008" w14:textId="77777777" w:rsidR="00132ED0" w:rsidRDefault="00132ED0" w:rsidP="00132ED0">
      <w:pPr>
        <w:rPr>
          <w:sz w:val="20"/>
          <w:szCs w:val="20"/>
        </w:rPr>
      </w:pPr>
    </w:p>
    <w:p w14:paraId="39E1A960" w14:textId="77777777" w:rsidR="00132ED0" w:rsidRDefault="00132ED0" w:rsidP="00132ED0">
      <w:pPr>
        <w:rPr>
          <w:sz w:val="20"/>
          <w:szCs w:val="20"/>
        </w:rPr>
      </w:pPr>
    </w:p>
    <w:p w14:paraId="212B92E1" w14:textId="77777777" w:rsidR="00132ED0" w:rsidRDefault="00132ED0" w:rsidP="00132ED0">
      <w:pPr>
        <w:rPr>
          <w:sz w:val="20"/>
          <w:szCs w:val="20"/>
        </w:rPr>
      </w:pPr>
    </w:p>
    <w:p w14:paraId="1FAE94C3" w14:textId="77777777" w:rsidR="00132ED0" w:rsidRDefault="00132ED0" w:rsidP="00132ED0">
      <w:pPr>
        <w:rPr>
          <w:sz w:val="20"/>
          <w:szCs w:val="20"/>
        </w:rPr>
      </w:pPr>
    </w:p>
    <w:p w14:paraId="078DBA36" w14:textId="77777777" w:rsidR="00132ED0" w:rsidRDefault="00132ED0" w:rsidP="00132ED0">
      <w:pPr>
        <w:rPr>
          <w:sz w:val="20"/>
          <w:szCs w:val="20"/>
        </w:rPr>
      </w:pPr>
    </w:p>
    <w:p w14:paraId="5440ABBF" w14:textId="71B6F71B" w:rsidR="00132ED0" w:rsidRDefault="00132ED0" w:rsidP="00132ED0">
      <w:pPr>
        <w:rPr>
          <w:sz w:val="20"/>
          <w:szCs w:val="20"/>
        </w:rPr>
      </w:pPr>
      <w:r w:rsidRPr="003650FE">
        <w:rPr>
          <w:b/>
          <w:sz w:val="20"/>
          <w:szCs w:val="20"/>
        </w:rPr>
        <w:t>Table 2.</w:t>
      </w:r>
      <w:r>
        <w:rPr>
          <w:sz w:val="20"/>
          <w:szCs w:val="20"/>
        </w:rPr>
        <w:t xml:space="preserve"> Plant stand and yield responses to seeding rate and seed treatment for the late (</w:t>
      </w:r>
      <w:r w:rsidR="0004726B" w:rsidRPr="0004726B">
        <w:rPr>
          <w:b/>
          <w:sz w:val="20"/>
          <w:szCs w:val="20"/>
        </w:rPr>
        <w:t>2</w:t>
      </w:r>
      <w:r w:rsidRPr="0004726B">
        <w:rPr>
          <w:b/>
          <w:sz w:val="20"/>
          <w:szCs w:val="20"/>
        </w:rPr>
        <w:t xml:space="preserve"> Ju</w:t>
      </w:r>
      <w:r w:rsidR="0004726B">
        <w:rPr>
          <w:b/>
          <w:sz w:val="20"/>
          <w:szCs w:val="20"/>
        </w:rPr>
        <w:t>ly</w:t>
      </w:r>
      <w:r>
        <w:rPr>
          <w:sz w:val="20"/>
          <w:szCs w:val="20"/>
        </w:rPr>
        <w:t>) planting date.</w:t>
      </w:r>
    </w:p>
    <w:p w14:paraId="2ABDB9ED" w14:textId="77777777" w:rsidR="00132ED0" w:rsidRDefault="00132ED0" w:rsidP="00132ED0">
      <w:pPr>
        <w:rPr>
          <w:sz w:val="20"/>
          <w:szCs w:val="20"/>
        </w:rPr>
      </w:pPr>
    </w:p>
    <w:tbl>
      <w:tblPr>
        <w:tblStyle w:val="TableGrid"/>
        <w:tblW w:w="10800" w:type="dxa"/>
        <w:jc w:val="center"/>
        <w:tblBorders>
          <w:top w:val="single" w:sz="6" w:space="0" w:color="auto"/>
          <w:left w:val="none" w:sz="0" w:space="0" w:color="auto"/>
          <w:bottom w:val="single" w:sz="6" w:space="0" w:color="auto"/>
          <w:right w:val="none" w:sz="0" w:space="0" w:color="auto"/>
          <w:insideH w:val="single" w:sz="6" w:space="0" w:color="auto"/>
          <w:insideV w:val="none" w:sz="0" w:space="0" w:color="auto"/>
        </w:tblBorders>
        <w:tblLayout w:type="fixed"/>
        <w:tblCellMar>
          <w:top w:w="29" w:type="dxa"/>
          <w:left w:w="115" w:type="dxa"/>
          <w:bottom w:w="29" w:type="dxa"/>
          <w:right w:w="115" w:type="dxa"/>
        </w:tblCellMar>
        <w:tblLook w:val="01E0" w:firstRow="1" w:lastRow="1" w:firstColumn="1" w:lastColumn="1" w:noHBand="0" w:noVBand="0"/>
      </w:tblPr>
      <w:tblGrid>
        <w:gridCol w:w="3420"/>
        <w:gridCol w:w="1530"/>
        <w:gridCol w:w="1620"/>
        <w:gridCol w:w="1440"/>
        <w:gridCol w:w="1260"/>
        <w:gridCol w:w="1530"/>
      </w:tblGrid>
      <w:tr w:rsidR="003650FE" w14:paraId="158DF6E3" w14:textId="77777777" w:rsidTr="003650FE">
        <w:trPr>
          <w:trHeight w:hRule="exact" w:val="288"/>
          <w:jc w:val="center"/>
        </w:trPr>
        <w:tc>
          <w:tcPr>
            <w:tcW w:w="3420" w:type="dxa"/>
            <w:tcBorders>
              <w:left w:val="nil"/>
              <w:bottom w:val="nil"/>
              <w:right w:val="nil"/>
            </w:tcBorders>
            <w:shd w:val="clear" w:color="auto" w:fill="auto"/>
            <w:vAlign w:val="center"/>
          </w:tcPr>
          <w:p w14:paraId="547D512E" w14:textId="77777777" w:rsidR="003650FE" w:rsidRDefault="003650FE" w:rsidP="00132ED0">
            <w:pPr>
              <w:rPr>
                <w:sz w:val="20"/>
                <w:szCs w:val="20"/>
              </w:rPr>
            </w:pPr>
          </w:p>
        </w:tc>
        <w:tc>
          <w:tcPr>
            <w:tcW w:w="5850" w:type="dxa"/>
            <w:gridSpan w:val="4"/>
            <w:tcBorders>
              <w:left w:val="nil"/>
              <w:right w:val="nil"/>
            </w:tcBorders>
            <w:vAlign w:val="center"/>
          </w:tcPr>
          <w:p w14:paraId="2A3AABD1" w14:textId="5F84633E" w:rsidR="003650FE" w:rsidRDefault="003650FE" w:rsidP="00132ED0">
            <w:pPr>
              <w:jc w:val="center"/>
              <w:rPr>
                <w:sz w:val="20"/>
                <w:szCs w:val="20"/>
              </w:rPr>
            </w:pPr>
            <w:r>
              <w:rPr>
                <w:sz w:val="20"/>
                <w:szCs w:val="20"/>
              </w:rPr>
              <w:t>Seeding rate (1000 seeds/A)</w:t>
            </w:r>
          </w:p>
        </w:tc>
        <w:tc>
          <w:tcPr>
            <w:tcW w:w="1530" w:type="dxa"/>
            <w:tcBorders>
              <w:left w:val="nil"/>
              <w:right w:val="nil"/>
            </w:tcBorders>
            <w:vAlign w:val="center"/>
          </w:tcPr>
          <w:p w14:paraId="27DE4872" w14:textId="77777777" w:rsidR="003650FE" w:rsidRDefault="003650FE" w:rsidP="00132ED0">
            <w:pPr>
              <w:jc w:val="center"/>
              <w:rPr>
                <w:sz w:val="20"/>
                <w:szCs w:val="20"/>
              </w:rPr>
            </w:pPr>
          </w:p>
        </w:tc>
      </w:tr>
      <w:tr w:rsidR="00132ED0" w14:paraId="4B558435" w14:textId="77777777" w:rsidTr="00132ED0">
        <w:trPr>
          <w:trHeight w:val="262"/>
          <w:jc w:val="center"/>
        </w:trPr>
        <w:tc>
          <w:tcPr>
            <w:tcW w:w="3420" w:type="dxa"/>
            <w:tcBorders>
              <w:top w:val="nil"/>
              <w:left w:val="nil"/>
              <w:right w:val="nil"/>
            </w:tcBorders>
            <w:shd w:val="clear" w:color="auto" w:fill="auto"/>
            <w:vAlign w:val="center"/>
          </w:tcPr>
          <w:p w14:paraId="02452228" w14:textId="77777777" w:rsidR="00132ED0" w:rsidRPr="00432A3C" w:rsidRDefault="00132ED0" w:rsidP="00132ED0">
            <w:pPr>
              <w:rPr>
                <w:sz w:val="20"/>
                <w:szCs w:val="20"/>
              </w:rPr>
            </w:pPr>
            <w:r w:rsidRPr="00432A3C">
              <w:rPr>
                <w:sz w:val="20"/>
                <w:szCs w:val="20"/>
              </w:rPr>
              <w:t>Treatment and rate/</w:t>
            </w:r>
            <w:r>
              <w:rPr>
                <w:sz w:val="20"/>
                <w:szCs w:val="20"/>
              </w:rPr>
              <w:t>cwt seed</w:t>
            </w:r>
          </w:p>
        </w:tc>
        <w:tc>
          <w:tcPr>
            <w:tcW w:w="1530" w:type="dxa"/>
            <w:tcBorders>
              <w:left w:val="nil"/>
              <w:right w:val="nil"/>
            </w:tcBorders>
            <w:vAlign w:val="center"/>
          </w:tcPr>
          <w:p w14:paraId="313C1B25" w14:textId="77777777" w:rsidR="00132ED0" w:rsidRDefault="00132ED0" w:rsidP="00132ED0">
            <w:pPr>
              <w:jc w:val="center"/>
              <w:rPr>
                <w:sz w:val="20"/>
                <w:szCs w:val="20"/>
              </w:rPr>
            </w:pPr>
            <w:r>
              <w:rPr>
                <w:sz w:val="20"/>
                <w:szCs w:val="20"/>
              </w:rPr>
              <w:t>61.0</w:t>
            </w:r>
          </w:p>
        </w:tc>
        <w:tc>
          <w:tcPr>
            <w:tcW w:w="1620" w:type="dxa"/>
            <w:tcBorders>
              <w:left w:val="nil"/>
              <w:right w:val="nil"/>
            </w:tcBorders>
            <w:vAlign w:val="center"/>
          </w:tcPr>
          <w:p w14:paraId="69EA2046" w14:textId="77777777" w:rsidR="00132ED0" w:rsidRDefault="00132ED0" w:rsidP="00132ED0">
            <w:pPr>
              <w:jc w:val="center"/>
              <w:rPr>
                <w:sz w:val="20"/>
                <w:szCs w:val="20"/>
              </w:rPr>
            </w:pPr>
            <w:r>
              <w:rPr>
                <w:sz w:val="20"/>
                <w:szCs w:val="20"/>
              </w:rPr>
              <w:t>80.1</w:t>
            </w:r>
          </w:p>
        </w:tc>
        <w:tc>
          <w:tcPr>
            <w:tcW w:w="1440" w:type="dxa"/>
            <w:tcBorders>
              <w:left w:val="nil"/>
              <w:right w:val="nil"/>
            </w:tcBorders>
            <w:vAlign w:val="center"/>
          </w:tcPr>
          <w:p w14:paraId="55E5195C" w14:textId="77777777" w:rsidR="00132ED0" w:rsidRDefault="00132ED0" w:rsidP="00132ED0">
            <w:pPr>
              <w:jc w:val="center"/>
              <w:rPr>
                <w:sz w:val="20"/>
                <w:szCs w:val="20"/>
              </w:rPr>
            </w:pPr>
            <w:r>
              <w:rPr>
                <w:sz w:val="20"/>
                <w:szCs w:val="20"/>
              </w:rPr>
              <w:t>95.8</w:t>
            </w:r>
          </w:p>
        </w:tc>
        <w:tc>
          <w:tcPr>
            <w:tcW w:w="1260" w:type="dxa"/>
            <w:tcBorders>
              <w:left w:val="nil"/>
              <w:right w:val="nil"/>
            </w:tcBorders>
            <w:vAlign w:val="center"/>
          </w:tcPr>
          <w:p w14:paraId="510AC8E5" w14:textId="77777777" w:rsidR="00132ED0" w:rsidRDefault="00132ED0" w:rsidP="00132ED0">
            <w:pPr>
              <w:jc w:val="center"/>
              <w:rPr>
                <w:sz w:val="20"/>
                <w:szCs w:val="20"/>
              </w:rPr>
            </w:pPr>
            <w:r>
              <w:rPr>
                <w:sz w:val="20"/>
                <w:szCs w:val="20"/>
              </w:rPr>
              <w:t>116.7</w:t>
            </w:r>
          </w:p>
        </w:tc>
        <w:tc>
          <w:tcPr>
            <w:tcW w:w="1530" w:type="dxa"/>
            <w:tcBorders>
              <w:left w:val="nil"/>
              <w:right w:val="nil"/>
            </w:tcBorders>
            <w:vAlign w:val="center"/>
          </w:tcPr>
          <w:p w14:paraId="25C9D74E" w14:textId="77777777" w:rsidR="00132ED0" w:rsidRDefault="00132ED0" w:rsidP="00132ED0">
            <w:pPr>
              <w:jc w:val="center"/>
              <w:rPr>
                <w:sz w:val="20"/>
                <w:szCs w:val="20"/>
              </w:rPr>
            </w:pPr>
            <w:r>
              <w:rPr>
                <w:sz w:val="20"/>
                <w:szCs w:val="20"/>
              </w:rPr>
              <w:t>average</w:t>
            </w:r>
            <w:r>
              <w:rPr>
                <w:sz w:val="20"/>
                <w:szCs w:val="20"/>
                <w:vertAlign w:val="superscript"/>
              </w:rPr>
              <w:t>z</w:t>
            </w:r>
          </w:p>
        </w:tc>
      </w:tr>
      <w:tr w:rsidR="00763637" w14:paraId="02CA43F5" w14:textId="77777777" w:rsidTr="00763637">
        <w:trPr>
          <w:trHeight w:val="288"/>
          <w:jc w:val="center"/>
        </w:trPr>
        <w:tc>
          <w:tcPr>
            <w:tcW w:w="3420" w:type="dxa"/>
            <w:tcBorders>
              <w:left w:val="nil"/>
              <w:right w:val="nil"/>
            </w:tcBorders>
            <w:vAlign w:val="center"/>
          </w:tcPr>
          <w:p w14:paraId="3E01FB8E" w14:textId="77777777" w:rsidR="00763637" w:rsidRPr="00350FA5" w:rsidRDefault="00763637" w:rsidP="00F42DD6">
            <w:pPr>
              <w:rPr>
                <w:sz w:val="20"/>
                <w:szCs w:val="20"/>
              </w:rPr>
            </w:pPr>
          </w:p>
        </w:tc>
        <w:tc>
          <w:tcPr>
            <w:tcW w:w="5850" w:type="dxa"/>
            <w:gridSpan w:val="4"/>
            <w:tcBorders>
              <w:left w:val="nil"/>
              <w:right w:val="nil"/>
            </w:tcBorders>
            <w:vAlign w:val="center"/>
          </w:tcPr>
          <w:p w14:paraId="73C91D15" w14:textId="1EF421E1" w:rsidR="00763637" w:rsidRDefault="00763637" w:rsidP="00763637">
            <w:pPr>
              <w:jc w:val="center"/>
              <w:rPr>
                <w:sz w:val="20"/>
                <w:szCs w:val="20"/>
              </w:rPr>
            </w:pPr>
            <w:r>
              <w:rPr>
                <w:sz w:val="20"/>
                <w:szCs w:val="20"/>
              </w:rPr>
              <w:t>Plant stand (</w:t>
            </w:r>
            <w:r w:rsidR="0004726B">
              <w:rPr>
                <w:sz w:val="20"/>
                <w:szCs w:val="20"/>
              </w:rPr>
              <w:t xml:space="preserve">1000 </w:t>
            </w:r>
            <w:r>
              <w:rPr>
                <w:sz w:val="20"/>
                <w:szCs w:val="20"/>
              </w:rPr>
              <w:t>plants/A)</w:t>
            </w:r>
          </w:p>
        </w:tc>
        <w:tc>
          <w:tcPr>
            <w:tcW w:w="1530" w:type="dxa"/>
            <w:tcBorders>
              <w:left w:val="nil"/>
              <w:right w:val="nil"/>
            </w:tcBorders>
            <w:vAlign w:val="center"/>
          </w:tcPr>
          <w:p w14:paraId="72D8D0AC" w14:textId="1471FB79" w:rsidR="00763637" w:rsidRDefault="00763637" w:rsidP="00F42DD6">
            <w:pPr>
              <w:jc w:val="center"/>
              <w:rPr>
                <w:sz w:val="20"/>
                <w:szCs w:val="20"/>
              </w:rPr>
            </w:pPr>
          </w:p>
        </w:tc>
      </w:tr>
      <w:tr w:rsidR="00657871" w14:paraId="2C1B49FA" w14:textId="77777777" w:rsidTr="003D1D5F">
        <w:trPr>
          <w:trHeight w:val="288"/>
          <w:jc w:val="center"/>
        </w:trPr>
        <w:tc>
          <w:tcPr>
            <w:tcW w:w="3420" w:type="dxa"/>
            <w:tcBorders>
              <w:left w:val="nil"/>
              <w:right w:val="nil"/>
            </w:tcBorders>
            <w:vAlign w:val="center"/>
          </w:tcPr>
          <w:p w14:paraId="249DD005" w14:textId="77777777" w:rsidR="00657871" w:rsidRPr="00350FA5" w:rsidRDefault="00657871" w:rsidP="00657871">
            <w:pPr>
              <w:rPr>
                <w:sz w:val="20"/>
                <w:szCs w:val="20"/>
              </w:rPr>
            </w:pPr>
            <w:r>
              <w:rPr>
                <w:sz w:val="20"/>
                <w:szCs w:val="20"/>
              </w:rPr>
              <w:t>Non-treated check</w:t>
            </w:r>
          </w:p>
        </w:tc>
        <w:tc>
          <w:tcPr>
            <w:tcW w:w="1530" w:type="dxa"/>
            <w:tcBorders>
              <w:left w:val="nil"/>
              <w:right w:val="nil"/>
            </w:tcBorders>
            <w:vAlign w:val="center"/>
          </w:tcPr>
          <w:p w14:paraId="55420445" w14:textId="54D6C674" w:rsidR="00657871" w:rsidRDefault="00657871" w:rsidP="00657871">
            <w:pPr>
              <w:jc w:val="center"/>
              <w:rPr>
                <w:sz w:val="20"/>
                <w:szCs w:val="20"/>
              </w:rPr>
            </w:pPr>
            <w:r>
              <w:rPr>
                <w:sz w:val="20"/>
                <w:szCs w:val="20"/>
                <w:lang w:val="pt-BR"/>
              </w:rPr>
              <w:t>41.2</w:t>
            </w:r>
          </w:p>
        </w:tc>
        <w:tc>
          <w:tcPr>
            <w:tcW w:w="1620" w:type="dxa"/>
            <w:tcBorders>
              <w:left w:val="nil"/>
              <w:right w:val="nil"/>
            </w:tcBorders>
            <w:vAlign w:val="center"/>
          </w:tcPr>
          <w:p w14:paraId="60AA9B3D" w14:textId="2FBB76D7" w:rsidR="00657871" w:rsidRDefault="00657871" w:rsidP="00657871">
            <w:pPr>
              <w:jc w:val="center"/>
              <w:rPr>
                <w:sz w:val="20"/>
                <w:szCs w:val="20"/>
              </w:rPr>
            </w:pPr>
            <w:r>
              <w:rPr>
                <w:sz w:val="20"/>
                <w:szCs w:val="20"/>
                <w:lang w:val="pt-BR"/>
              </w:rPr>
              <w:t>44.8</w:t>
            </w:r>
          </w:p>
        </w:tc>
        <w:tc>
          <w:tcPr>
            <w:tcW w:w="1440" w:type="dxa"/>
            <w:tcBorders>
              <w:left w:val="nil"/>
              <w:right w:val="nil"/>
            </w:tcBorders>
            <w:vAlign w:val="center"/>
          </w:tcPr>
          <w:p w14:paraId="0C125AA4" w14:textId="5AE8D2DB" w:rsidR="00657871" w:rsidRDefault="00657871" w:rsidP="00657871">
            <w:pPr>
              <w:jc w:val="center"/>
              <w:rPr>
                <w:sz w:val="20"/>
                <w:szCs w:val="20"/>
              </w:rPr>
            </w:pPr>
            <w:r>
              <w:rPr>
                <w:sz w:val="20"/>
                <w:szCs w:val="20"/>
                <w:lang w:val="pt-BR"/>
              </w:rPr>
              <w:t>59.6</w:t>
            </w:r>
          </w:p>
        </w:tc>
        <w:tc>
          <w:tcPr>
            <w:tcW w:w="1260" w:type="dxa"/>
            <w:tcBorders>
              <w:left w:val="nil"/>
              <w:right w:val="nil"/>
            </w:tcBorders>
            <w:vAlign w:val="center"/>
          </w:tcPr>
          <w:p w14:paraId="593E1121" w14:textId="3272A135" w:rsidR="00657871" w:rsidRDefault="00657871" w:rsidP="00657871">
            <w:pPr>
              <w:jc w:val="center"/>
              <w:rPr>
                <w:sz w:val="20"/>
                <w:szCs w:val="20"/>
              </w:rPr>
            </w:pPr>
            <w:r>
              <w:rPr>
                <w:sz w:val="20"/>
                <w:szCs w:val="20"/>
              </w:rPr>
              <w:t>72.9</w:t>
            </w:r>
          </w:p>
        </w:tc>
        <w:tc>
          <w:tcPr>
            <w:tcW w:w="1530" w:type="dxa"/>
            <w:tcBorders>
              <w:left w:val="nil"/>
              <w:right w:val="nil"/>
            </w:tcBorders>
            <w:vAlign w:val="center"/>
          </w:tcPr>
          <w:p w14:paraId="372BF323" w14:textId="2E41EE96" w:rsidR="00657871" w:rsidRDefault="00657871" w:rsidP="00657871">
            <w:pPr>
              <w:jc w:val="center"/>
              <w:rPr>
                <w:sz w:val="20"/>
                <w:szCs w:val="20"/>
              </w:rPr>
            </w:pPr>
            <w:r>
              <w:rPr>
                <w:sz w:val="20"/>
                <w:szCs w:val="20"/>
              </w:rPr>
              <w:t xml:space="preserve"> 54.6 b</w:t>
            </w:r>
            <w:r w:rsidRPr="003650FE">
              <w:rPr>
                <w:sz w:val="20"/>
                <w:szCs w:val="20"/>
                <w:vertAlign w:val="superscript"/>
              </w:rPr>
              <w:t>x</w:t>
            </w:r>
          </w:p>
        </w:tc>
      </w:tr>
      <w:tr w:rsidR="00657871" w14:paraId="0D9090A2" w14:textId="77777777" w:rsidTr="003D1D5F">
        <w:trPr>
          <w:trHeight w:val="288"/>
          <w:jc w:val="center"/>
        </w:trPr>
        <w:tc>
          <w:tcPr>
            <w:tcW w:w="3420" w:type="dxa"/>
            <w:tcBorders>
              <w:left w:val="nil"/>
              <w:right w:val="nil"/>
            </w:tcBorders>
            <w:vAlign w:val="center"/>
          </w:tcPr>
          <w:p w14:paraId="2DF1C181" w14:textId="77777777" w:rsidR="00657871" w:rsidRDefault="00657871" w:rsidP="00657871">
            <w:pPr>
              <w:rPr>
                <w:sz w:val="20"/>
                <w:szCs w:val="20"/>
                <w:lang w:val="pt-BR"/>
              </w:rPr>
            </w:pPr>
            <w:r>
              <w:rPr>
                <w:sz w:val="20"/>
                <w:szCs w:val="20"/>
                <w:lang w:val="pt-BR"/>
              </w:rPr>
              <w:t>CruiserMaxx Vibrance 2.49F 3.2 fl oz</w:t>
            </w:r>
          </w:p>
        </w:tc>
        <w:tc>
          <w:tcPr>
            <w:tcW w:w="1530" w:type="dxa"/>
            <w:tcBorders>
              <w:left w:val="nil"/>
              <w:right w:val="nil"/>
            </w:tcBorders>
            <w:vAlign w:val="center"/>
          </w:tcPr>
          <w:p w14:paraId="2E9948DB" w14:textId="57AE4024" w:rsidR="00657871" w:rsidRDefault="00657871" w:rsidP="00657871">
            <w:pPr>
              <w:jc w:val="center"/>
              <w:rPr>
                <w:sz w:val="20"/>
                <w:szCs w:val="20"/>
                <w:lang w:val="pt-BR"/>
              </w:rPr>
            </w:pPr>
            <w:r>
              <w:rPr>
                <w:sz w:val="20"/>
                <w:szCs w:val="20"/>
                <w:lang w:val="pt-BR"/>
              </w:rPr>
              <w:t>50.3</w:t>
            </w:r>
          </w:p>
        </w:tc>
        <w:tc>
          <w:tcPr>
            <w:tcW w:w="1620" w:type="dxa"/>
            <w:tcBorders>
              <w:left w:val="nil"/>
              <w:right w:val="nil"/>
            </w:tcBorders>
            <w:vAlign w:val="center"/>
          </w:tcPr>
          <w:p w14:paraId="498CCEFA" w14:textId="13E879A9" w:rsidR="00657871" w:rsidRDefault="00657871" w:rsidP="00657871">
            <w:pPr>
              <w:jc w:val="center"/>
              <w:rPr>
                <w:sz w:val="20"/>
                <w:szCs w:val="20"/>
                <w:lang w:val="pt-BR"/>
              </w:rPr>
            </w:pPr>
            <w:r>
              <w:rPr>
                <w:sz w:val="20"/>
                <w:szCs w:val="20"/>
                <w:lang w:val="pt-BR"/>
              </w:rPr>
              <w:t>67.9</w:t>
            </w:r>
          </w:p>
        </w:tc>
        <w:tc>
          <w:tcPr>
            <w:tcW w:w="1440" w:type="dxa"/>
            <w:tcBorders>
              <w:left w:val="nil"/>
              <w:right w:val="nil"/>
            </w:tcBorders>
            <w:vAlign w:val="center"/>
          </w:tcPr>
          <w:p w14:paraId="39ED295C" w14:textId="34C691E6" w:rsidR="00657871" w:rsidRDefault="00657871" w:rsidP="00657871">
            <w:pPr>
              <w:jc w:val="center"/>
              <w:rPr>
                <w:sz w:val="20"/>
                <w:szCs w:val="20"/>
                <w:lang w:val="pt-BR"/>
              </w:rPr>
            </w:pPr>
            <w:r>
              <w:rPr>
                <w:sz w:val="20"/>
                <w:szCs w:val="20"/>
                <w:lang w:val="pt-BR"/>
              </w:rPr>
              <w:t>69.6</w:t>
            </w:r>
          </w:p>
        </w:tc>
        <w:tc>
          <w:tcPr>
            <w:tcW w:w="1260" w:type="dxa"/>
            <w:tcBorders>
              <w:left w:val="nil"/>
              <w:right w:val="nil"/>
            </w:tcBorders>
            <w:vAlign w:val="center"/>
          </w:tcPr>
          <w:p w14:paraId="2894C89C" w14:textId="36550EDC" w:rsidR="00657871" w:rsidRDefault="00657871" w:rsidP="00657871">
            <w:pPr>
              <w:jc w:val="center"/>
              <w:rPr>
                <w:sz w:val="20"/>
                <w:szCs w:val="20"/>
                <w:lang w:val="pt-BR"/>
              </w:rPr>
            </w:pPr>
            <w:r>
              <w:rPr>
                <w:sz w:val="20"/>
                <w:szCs w:val="20"/>
                <w:lang w:val="pt-BR"/>
              </w:rPr>
              <w:t>79.5</w:t>
            </w:r>
          </w:p>
        </w:tc>
        <w:tc>
          <w:tcPr>
            <w:tcW w:w="1530" w:type="dxa"/>
            <w:tcBorders>
              <w:left w:val="nil"/>
              <w:right w:val="nil"/>
            </w:tcBorders>
            <w:vAlign w:val="center"/>
          </w:tcPr>
          <w:p w14:paraId="5A586E69" w14:textId="77158DC0" w:rsidR="00657871" w:rsidRDefault="00657871" w:rsidP="00657871">
            <w:pPr>
              <w:jc w:val="center"/>
              <w:rPr>
                <w:sz w:val="20"/>
                <w:szCs w:val="20"/>
                <w:lang w:val="pt-BR"/>
              </w:rPr>
            </w:pPr>
            <w:r>
              <w:rPr>
                <w:sz w:val="20"/>
                <w:szCs w:val="20"/>
                <w:lang w:val="pt-BR"/>
              </w:rPr>
              <w:t>66.8 a</w:t>
            </w:r>
          </w:p>
        </w:tc>
      </w:tr>
      <w:tr w:rsidR="00657871" w14:paraId="4CEC4DA2" w14:textId="77777777" w:rsidTr="003D1D5F">
        <w:trPr>
          <w:trHeight w:val="288"/>
          <w:jc w:val="center"/>
        </w:trPr>
        <w:tc>
          <w:tcPr>
            <w:tcW w:w="3420" w:type="dxa"/>
            <w:tcBorders>
              <w:left w:val="nil"/>
              <w:right w:val="nil"/>
            </w:tcBorders>
            <w:vAlign w:val="center"/>
          </w:tcPr>
          <w:p w14:paraId="7E094C32" w14:textId="14416B8C" w:rsidR="00657871" w:rsidRDefault="00657871" w:rsidP="00657871">
            <w:pPr>
              <w:rPr>
                <w:sz w:val="20"/>
                <w:szCs w:val="20"/>
                <w:lang w:val="pt-BR"/>
              </w:rPr>
            </w:pPr>
            <w:r>
              <w:rPr>
                <w:sz w:val="20"/>
                <w:szCs w:val="20"/>
                <w:lang w:val="pt-BR"/>
              </w:rPr>
              <w:t>ApronMaxx+Moly RTA 0.16F 5 fl oz</w:t>
            </w:r>
          </w:p>
        </w:tc>
        <w:tc>
          <w:tcPr>
            <w:tcW w:w="1530" w:type="dxa"/>
            <w:tcBorders>
              <w:left w:val="nil"/>
              <w:right w:val="nil"/>
            </w:tcBorders>
            <w:vAlign w:val="center"/>
          </w:tcPr>
          <w:p w14:paraId="45BD26F4" w14:textId="6431623D" w:rsidR="00657871" w:rsidRDefault="00657871" w:rsidP="00657871">
            <w:pPr>
              <w:jc w:val="center"/>
              <w:rPr>
                <w:sz w:val="20"/>
                <w:szCs w:val="20"/>
                <w:lang w:val="pt-BR"/>
              </w:rPr>
            </w:pPr>
            <w:r>
              <w:rPr>
                <w:sz w:val="20"/>
                <w:szCs w:val="20"/>
                <w:lang w:val="pt-BR"/>
              </w:rPr>
              <w:t>41.8</w:t>
            </w:r>
          </w:p>
        </w:tc>
        <w:tc>
          <w:tcPr>
            <w:tcW w:w="1620" w:type="dxa"/>
            <w:tcBorders>
              <w:left w:val="nil"/>
              <w:right w:val="nil"/>
            </w:tcBorders>
            <w:vAlign w:val="center"/>
          </w:tcPr>
          <w:p w14:paraId="048C442C" w14:textId="27B5A090" w:rsidR="00657871" w:rsidRDefault="00657871" w:rsidP="00657871">
            <w:pPr>
              <w:jc w:val="center"/>
              <w:rPr>
                <w:sz w:val="20"/>
                <w:szCs w:val="20"/>
                <w:lang w:val="pt-BR"/>
              </w:rPr>
            </w:pPr>
            <w:r>
              <w:rPr>
                <w:sz w:val="20"/>
                <w:szCs w:val="20"/>
                <w:lang w:val="pt-BR"/>
              </w:rPr>
              <w:t>52.6</w:t>
            </w:r>
          </w:p>
        </w:tc>
        <w:tc>
          <w:tcPr>
            <w:tcW w:w="1440" w:type="dxa"/>
            <w:tcBorders>
              <w:left w:val="nil"/>
              <w:right w:val="nil"/>
            </w:tcBorders>
            <w:vAlign w:val="center"/>
          </w:tcPr>
          <w:p w14:paraId="1420042F" w14:textId="38448601" w:rsidR="00657871" w:rsidRDefault="00657871" w:rsidP="00657871">
            <w:pPr>
              <w:jc w:val="center"/>
              <w:rPr>
                <w:sz w:val="20"/>
                <w:szCs w:val="20"/>
                <w:lang w:val="pt-BR"/>
              </w:rPr>
            </w:pPr>
            <w:r>
              <w:rPr>
                <w:sz w:val="20"/>
                <w:szCs w:val="20"/>
                <w:lang w:val="pt-BR"/>
              </w:rPr>
              <w:t>60.1</w:t>
            </w:r>
          </w:p>
        </w:tc>
        <w:tc>
          <w:tcPr>
            <w:tcW w:w="1260" w:type="dxa"/>
            <w:tcBorders>
              <w:left w:val="nil"/>
              <w:right w:val="nil"/>
            </w:tcBorders>
            <w:vAlign w:val="center"/>
          </w:tcPr>
          <w:p w14:paraId="44057145" w14:textId="56D84F1A" w:rsidR="00657871" w:rsidRDefault="00657871" w:rsidP="00657871">
            <w:pPr>
              <w:jc w:val="center"/>
              <w:rPr>
                <w:sz w:val="20"/>
                <w:szCs w:val="20"/>
                <w:lang w:val="pt-BR"/>
              </w:rPr>
            </w:pPr>
            <w:r>
              <w:rPr>
                <w:sz w:val="20"/>
                <w:szCs w:val="20"/>
                <w:lang w:val="pt-BR"/>
              </w:rPr>
              <w:t>73.9</w:t>
            </w:r>
          </w:p>
        </w:tc>
        <w:tc>
          <w:tcPr>
            <w:tcW w:w="1530" w:type="dxa"/>
            <w:tcBorders>
              <w:left w:val="nil"/>
              <w:right w:val="nil"/>
            </w:tcBorders>
            <w:vAlign w:val="center"/>
          </w:tcPr>
          <w:p w14:paraId="2B4D3B65" w14:textId="6BB1D675" w:rsidR="00657871" w:rsidRDefault="00657871" w:rsidP="00657871">
            <w:pPr>
              <w:jc w:val="center"/>
              <w:rPr>
                <w:sz w:val="20"/>
                <w:szCs w:val="20"/>
                <w:lang w:val="pt-BR"/>
              </w:rPr>
            </w:pPr>
            <w:r>
              <w:rPr>
                <w:sz w:val="20"/>
                <w:szCs w:val="20"/>
                <w:lang w:val="pt-BR"/>
              </w:rPr>
              <w:t>57.1 b</w:t>
            </w:r>
          </w:p>
        </w:tc>
      </w:tr>
      <w:tr w:rsidR="00657871" w:rsidRPr="008F593F" w14:paraId="2E988AE6" w14:textId="77777777" w:rsidTr="003D1D5F">
        <w:trPr>
          <w:trHeight w:val="288"/>
          <w:jc w:val="center"/>
        </w:trPr>
        <w:tc>
          <w:tcPr>
            <w:tcW w:w="3420" w:type="dxa"/>
            <w:tcBorders>
              <w:left w:val="nil"/>
              <w:right w:val="nil"/>
            </w:tcBorders>
            <w:vAlign w:val="center"/>
          </w:tcPr>
          <w:p w14:paraId="206B25AE" w14:textId="30131CDE" w:rsidR="00657871" w:rsidRDefault="00657871" w:rsidP="00657871">
            <w:pPr>
              <w:rPr>
                <w:sz w:val="20"/>
                <w:szCs w:val="20"/>
                <w:lang w:val="pt-BR"/>
              </w:rPr>
            </w:pPr>
            <w:r>
              <w:rPr>
                <w:sz w:val="20"/>
                <w:szCs w:val="20"/>
                <w:lang w:val="pt-BR"/>
              </w:rPr>
              <w:t>average</w:t>
            </w:r>
            <w:r>
              <w:rPr>
                <w:sz w:val="20"/>
                <w:szCs w:val="20"/>
                <w:vertAlign w:val="superscript"/>
                <w:lang w:val="pt-BR"/>
              </w:rPr>
              <w:t>y</w:t>
            </w:r>
          </w:p>
        </w:tc>
        <w:tc>
          <w:tcPr>
            <w:tcW w:w="1530" w:type="dxa"/>
            <w:tcBorders>
              <w:left w:val="nil"/>
              <w:right w:val="nil"/>
            </w:tcBorders>
            <w:vAlign w:val="center"/>
          </w:tcPr>
          <w:p w14:paraId="49915848" w14:textId="48DEA753" w:rsidR="00657871" w:rsidRDefault="00657871" w:rsidP="00657871">
            <w:pPr>
              <w:rPr>
                <w:sz w:val="20"/>
                <w:szCs w:val="20"/>
                <w:lang w:val="pt-BR"/>
              </w:rPr>
            </w:pPr>
            <w:r>
              <w:rPr>
                <w:sz w:val="20"/>
                <w:szCs w:val="20"/>
                <w:lang w:val="pt-BR"/>
              </w:rPr>
              <w:t xml:space="preserve">         44.4 d</w:t>
            </w:r>
            <w:r w:rsidRPr="003650FE">
              <w:rPr>
                <w:sz w:val="20"/>
                <w:szCs w:val="20"/>
                <w:vertAlign w:val="superscript"/>
                <w:lang w:val="pt-BR"/>
              </w:rPr>
              <w:t>x</w:t>
            </w:r>
          </w:p>
        </w:tc>
        <w:tc>
          <w:tcPr>
            <w:tcW w:w="1620" w:type="dxa"/>
            <w:tcBorders>
              <w:left w:val="nil"/>
              <w:right w:val="nil"/>
            </w:tcBorders>
            <w:vAlign w:val="center"/>
          </w:tcPr>
          <w:p w14:paraId="67F4945A" w14:textId="52D17768" w:rsidR="00657871" w:rsidRDefault="00657871" w:rsidP="00657871">
            <w:pPr>
              <w:rPr>
                <w:sz w:val="20"/>
                <w:szCs w:val="20"/>
                <w:lang w:val="pt-BR"/>
              </w:rPr>
            </w:pPr>
            <w:r>
              <w:rPr>
                <w:sz w:val="20"/>
                <w:szCs w:val="20"/>
                <w:lang w:val="pt-BR"/>
              </w:rPr>
              <w:t xml:space="preserve">          55.1 c</w:t>
            </w:r>
          </w:p>
        </w:tc>
        <w:tc>
          <w:tcPr>
            <w:tcW w:w="1440" w:type="dxa"/>
            <w:tcBorders>
              <w:left w:val="nil"/>
              <w:right w:val="nil"/>
            </w:tcBorders>
            <w:vAlign w:val="center"/>
          </w:tcPr>
          <w:p w14:paraId="2CEC2480" w14:textId="58BA908C" w:rsidR="00657871" w:rsidRDefault="00657871" w:rsidP="00657871">
            <w:pPr>
              <w:rPr>
                <w:sz w:val="20"/>
                <w:szCs w:val="20"/>
                <w:lang w:val="pt-BR"/>
              </w:rPr>
            </w:pPr>
            <w:r>
              <w:rPr>
                <w:sz w:val="20"/>
                <w:szCs w:val="20"/>
                <w:lang w:val="pt-BR"/>
              </w:rPr>
              <w:t xml:space="preserve">        63.1 b</w:t>
            </w:r>
          </w:p>
        </w:tc>
        <w:tc>
          <w:tcPr>
            <w:tcW w:w="1260" w:type="dxa"/>
            <w:tcBorders>
              <w:left w:val="nil"/>
              <w:right w:val="nil"/>
            </w:tcBorders>
            <w:vAlign w:val="center"/>
          </w:tcPr>
          <w:p w14:paraId="214629BF" w14:textId="0459BB52" w:rsidR="00657871" w:rsidRPr="008F593F" w:rsidRDefault="00657871" w:rsidP="00657871">
            <w:pPr>
              <w:jc w:val="center"/>
              <w:rPr>
                <w:sz w:val="20"/>
                <w:szCs w:val="20"/>
                <w:lang w:val="pt-BR"/>
              </w:rPr>
            </w:pPr>
            <w:r>
              <w:rPr>
                <w:sz w:val="20"/>
                <w:szCs w:val="20"/>
                <w:lang w:val="pt-BR"/>
              </w:rPr>
              <w:t xml:space="preserve">  75.4 a</w:t>
            </w:r>
          </w:p>
        </w:tc>
        <w:tc>
          <w:tcPr>
            <w:tcW w:w="1530" w:type="dxa"/>
            <w:tcBorders>
              <w:left w:val="nil"/>
              <w:right w:val="nil"/>
            </w:tcBorders>
            <w:vAlign w:val="center"/>
          </w:tcPr>
          <w:p w14:paraId="7A411A3D" w14:textId="1FD74A32" w:rsidR="00657871" w:rsidRPr="008F593F" w:rsidRDefault="00657871" w:rsidP="00657871">
            <w:pPr>
              <w:jc w:val="center"/>
              <w:rPr>
                <w:sz w:val="20"/>
                <w:szCs w:val="20"/>
                <w:lang w:val="pt-BR"/>
              </w:rPr>
            </w:pPr>
          </w:p>
        </w:tc>
      </w:tr>
      <w:tr w:rsidR="00657871" w14:paraId="51FE6492" w14:textId="77777777" w:rsidTr="00763637">
        <w:trPr>
          <w:trHeight w:val="288"/>
          <w:jc w:val="center"/>
        </w:trPr>
        <w:tc>
          <w:tcPr>
            <w:tcW w:w="3420" w:type="dxa"/>
            <w:tcBorders>
              <w:left w:val="nil"/>
              <w:right w:val="nil"/>
            </w:tcBorders>
            <w:vAlign w:val="center"/>
          </w:tcPr>
          <w:p w14:paraId="2D157365" w14:textId="77777777" w:rsidR="00657871" w:rsidRDefault="00657871" w:rsidP="00657871">
            <w:pPr>
              <w:rPr>
                <w:sz w:val="20"/>
                <w:szCs w:val="20"/>
                <w:lang w:val="pt-BR"/>
              </w:rPr>
            </w:pPr>
          </w:p>
        </w:tc>
        <w:tc>
          <w:tcPr>
            <w:tcW w:w="5850" w:type="dxa"/>
            <w:gridSpan w:val="4"/>
            <w:tcBorders>
              <w:left w:val="nil"/>
              <w:right w:val="nil"/>
            </w:tcBorders>
            <w:vAlign w:val="center"/>
          </w:tcPr>
          <w:p w14:paraId="20DA1263" w14:textId="2637CD9C" w:rsidR="00657871" w:rsidRDefault="00657871" w:rsidP="00657871">
            <w:pPr>
              <w:jc w:val="center"/>
              <w:rPr>
                <w:sz w:val="20"/>
                <w:szCs w:val="20"/>
                <w:lang w:val="pt-BR"/>
              </w:rPr>
            </w:pPr>
            <w:r>
              <w:rPr>
                <w:sz w:val="20"/>
                <w:szCs w:val="20"/>
                <w:lang w:val="pt-BR"/>
              </w:rPr>
              <w:t>Yield (bu/A)</w:t>
            </w:r>
          </w:p>
        </w:tc>
        <w:tc>
          <w:tcPr>
            <w:tcW w:w="1530" w:type="dxa"/>
            <w:tcBorders>
              <w:left w:val="nil"/>
              <w:right w:val="nil"/>
            </w:tcBorders>
            <w:vAlign w:val="center"/>
          </w:tcPr>
          <w:p w14:paraId="2338B82D" w14:textId="1BBC461A" w:rsidR="00657871" w:rsidRDefault="00657871" w:rsidP="00657871">
            <w:pPr>
              <w:jc w:val="center"/>
              <w:rPr>
                <w:sz w:val="20"/>
                <w:szCs w:val="20"/>
                <w:lang w:val="pt-BR"/>
              </w:rPr>
            </w:pPr>
          </w:p>
        </w:tc>
      </w:tr>
      <w:tr w:rsidR="00657871" w14:paraId="5A7BEEC1" w14:textId="77777777" w:rsidTr="003D1D5F">
        <w:trPr>
          <w:trHeight w:val="288"/>
          <w:jc w:val="center"/>
        </w:trPr>
        <w:tc>
          <w:tcPr>
            <w:tcW w:w="3420" w:type="dxa"/>
            <w:tcBorders>
              <w:left w:val="nil"/>
              <w:right w:val="nil"/>
            </w:tcBorders>
            <w:vAlign w:val="center"/>
          </w:tcPr>
          <w:p w14:paraId="27652728" w14:textId="77777777" w:rsidR="00657871" w:rsidRPr="00350FA5" w:rsidRDefault="00657871" w:rsidP="00657871">
            <w:pPr>
              <w:rPr>
                <w:sz w:val="20"/>
                <w:szCs w:val="20"/>
              </w:rPr>
            </w:pPr>
            <w:r>
              <w:rPr>
                <w:sz w:val="20"/>
                <w:szCs w:val="20"/>
              </w:rPr>
              <w:t>Non-treated check</w:t>
            </w:r>
          </w:p>
        </w:tc>
        <w:tc>
          <w:tcPr>
            <w:tcW w:w="1530" w:type="dxa"/>
            <w:tcBorders>
              <w:left w:val="nil"/>
              <w:right w:val="nil"/>
            </w:tcBorders>
            <w:vAlign w:val="center"/>
          </w:tcPr>
          <w:p w14:paraId="6E9BF582" w14:textId="5DB65E8F" w:rsidR="00657871" w:rsidRDefault="00657871" w:rsidP="00657871">
            <w:pPr>
              <w:jc w:val="center"/>
              <w:rPr>
                <w:sz w:val="20"/>
                <w:szCs w:val="20"/>
                <w:lang w:val="pt-BR"/>
              </w:rPr>
            </w:pPr>
            <w:r>
              <w:rPr>
                <w:sz w:val="20"/>
                <w:szCs w:val="20"/>
                <w:lang w:val="pt-BR"/>
              </w:rPr>
              <w:t>4</w:t>
            </w:r>
            <w:r w:rsidR="00143987">
              <w:rPr>
                <w:sz w:val="20"/>
                <w:szCs w:val="20"/>
                <w:lang w:val="pt-BR"/>
              </w:rPr>
              <w:t>2</w:t>
            </w:r>
            <w:r>
              <w:rPr>
                <w:sz w:val="20"/>
                <w:szCs w:val="20"/>
                <w:lang w:val="pt-BR"/>
              </w:rPr>
              <w:t>.</w:t>
            </w:r>
            <w:r w:rsidR="00143987">
              <w:rPr>
                <w:sz w:val="20"/>
                <w:szCs w:val="20"/>
                <w:lang w:val="pt-BR"/>
              </w:rPr>
              <w:t>3</w:t>
            </w:r>
          </w:p>
        </w:tc>
        <w:tc>
          <w:tcPr>
            <w:tcW w:w="1620" w:type="dxa"/>
            <w:tcBorders>
              <w:left w:val="nil"/>
              <w:right w:val="nil"/>
            </w:tcBorders>
            <w:vAlign w:val="center"/>
          </w:tcPr>
          <w:p w14:paraId="70265D1B" w14:textId="41F5B843" w:rsidR="00657871" w:rsidRDefault="00143987" w:rsidP="00657871">
            <w:pPr>
              <w:jc w:val="center"/>
              <w:rPr>
                <w:sz w:val="20"/>
                <w:szCs w:val="20"/>
                <w:lang w:val="pt-BR"/>
              </w:rPr>
            </w:pPr>
            <w:r>
              <w:rPr>
                <w:sz w:val="20"/>
                <w:szCs w:val="20"/>
                <w:lang w:val="pt-BR"/>
              </w:rPr>
              <w:t>35.7</w:t>
            </w:r>
          </w:p>
        </w:tc>
        <w:tc>
          <w:tcPr>
            <w:tcW w:w="1440" w:type="dxa"/>
            <w:tcBorders>
              <w:left w:val="nil"/>
              <w:right w:val="nil"/>
            </w:tcBorders>
            <w:vAlign w:val="center"/>
          </w:tcPr>
          <w:p w14:paraId="0ACECFC5" w14:textId="4E107B2C" w:rsidR="00657871" w:rsidRDefault="00C32BB8" w:rsidP="00657871">
            <w:pPr>
              <w:jc w:val="center"/>
              <w:rPr>
                <w:sz w:val="20"/>
                <w:szCs w:val="20"/>
                <w:lang w:val="pt-BR"/>
              </w:rPr>
            </w:pPr>
            <w:r>
              <w:rPr>
                <w:sz w:val="20"/>
                <w:szCs w:val="20"/>
                <w:lang w:val="pt-BR"/>
              </w:rPr>
              <w:t>37.4</w:t>
            </w:r>
          </w:p>
        </w:tc>
        <w:tc>
          <w:tcPr>
            <w:tcW w:w="1260" w:type="dxa"/>
            <w:tcBorders>
              <w:left w:val="nil"/>
              <w:right w:val="nil"/>
            </w:tcBorders>
            <w:vAlign w:val="center"/>
          </w:tcPr>
          <w:p w14:paraId="46498171" w14:textId="58291F06" w:rsidR="00657871" w:rsidRDefault="00657871" w:rsidP="00657871">
            <w:pPr>
              <w:jc w:val="center"/>
              <w:rPr>
                <w:sz w:val="20"/>
                <w:szCs w:val="20"/>
                <w:lang w:val="pt-BR"/>
              </w:rPr>
            </w:pPr>
            <w:r>
              <w:rPr>
                <w:sz w:val="20"/>
                <w:szCs w:val="20"/>
                <w:lang w:val="pt-BR"/>
              </w:rPr>
              <w:t>3</w:t>
            </w:r>
            <w:r w:rsidR="00C32BB8">
              <w:rPr>
                <w:sz w:val="20"/>
                <w:szCs w:val="20"/>
                <w:lang w:val="pt-BR"/>
              </w:rPr>
              <w:t>7.9</w:t>
            </w:r>
          </w:p>
        </w:tc>
        <w:tc>
          <w:tcPr>
            <w:tcW w:w="1530" w:type="dxa"/>
            <w:tcBorders>
              <w:left w:val="nil"/>
              <w:right w:val="nil"/>
            </w:tcBorders>
            <w:vAlign w:val="center"/>
          </w:tcPr>
          <w:p w14:paraId="3B056EE4" w14:textId="56D04AFE" w:rsidR="00657871" w:rsidRDefault="00657871" w:rsidP="00657871">
            <w:pPr>
              <w:rPr>
                <w:sz w:val="20"/>
                <w:szCs w:val="20"/>
                <w:lang w:val="pt-BR"/>
              </w:rPr>
            </w:pPr>
            <w:r>
              <w:rPr>
                <w:sz w:val="20"/>
                <w:szCs w:val="20"/>
                <w:lang w:val="pt-BR"/>
              </w:rPr>
              <w:t xml:space="preserve">        </w:t>
            </w:r>
            <w:r w:rsidR="00C32BB8">
              <w:rPr>
                <w:sz w:val="20"/>
                <w:szCs w:val="20"/>
                <w:lang w:val="pt-BR"/>
              </w:rPr>
              <w:t>38.3</w:t>
            </w:r>
            <w:r>
              <w:rPr>
                <w:sz w:val="20"/>
                <w:szCs w:val="20"/>
                <w:lang w:val="pt-BR"/>
              </w:rPr>
              <w:t xml:space="preserve"> </w:t>
            </w:r>
            <w:r w:rsidR="00C32BB8">
              <w:rPr>
                <w:sz w:val="20"/>
                <w:szCs w:val="20"/>
                <w:lang w:val="pt-BR"/>
              </w:rPr>
              <w:t>a</w:t>
            </w:r>
            <w:r w:rsidRPr="003650FE">
              <w:rPr>
                <w:sz w:val="20"/>
                <w:szCs w:val="20"/>
                <w:vertAlign w:val="superscript"/>
                <w:lang w:val="pt-BR"/>
              </w:rPr>
              <w:t>x</w:t>
            </w:r>
          </w:p>
        </w:tc>
      </w:tr>
      <w:tr w:rsidR="00657871" w14:paraId="4A8D1A76" w14:textId="77777777" w:rsidTr="003D1D5F">
        <w:trPr>
          <w:trHeight w:val="288"/>
          <w:jc w:val="center"/>
        </w:trPr>
        <w:tc>
          <w:tcPr>
            <w:tcW w:w="3420" w:type="dxa"/>
            <w:tcBorders>
              <w:left w:val="nil"/>
              <w:right w:val="nil"/>
            </w:tcBorders>
            <w:vAlign w:val="center"/>
          </w:tcPr>
          <w:p w14:paraId="5F83385B" w14:textId="77777777" w:rsidR="00657871" w:rsidRDefault="00657871" w:rsidP="00657871">
            <w:pPr>
              <w:rPr>
                <w:sz w:val="20"/>
                <w:szCs w:val="20"/>
                <w:lang w:val="pt-BR"/>
              </w:rPr>
            </w:pPr>
            <w:r>
              <w:rPr>
                <w:sz w:val="20"/>
                <w:szCs w:val="20"/>
                <w:lang w:val="pt-BR"/>
              </w:rPr>
              <w:t>CruiserMaxx Vibrance 2.49F 3.2 fl oz</w:t>
            </w:r>
          </w:p>
        </w:tc>
        <w:tc>
          <w:tcPr>
            <w:tcW w:w="1530" w:type="dxa"/>
            <w:tcBorders>
              <w:left w:val="nil"/>
              <w:right w:val="nil"/>
            </w:tcBorders>
            <w:vAlign w:val="center"/>
          </w:tcPr>
          <w:p w14:paraId="4815D785" w14:textId="5007619A" w:rsidR="00657871" w:rsidRDefault="00143987" w:rsidP="00657871">
            <w:pPr>
              <w:jc w:val="center"/>
              <w:rPr>
                <w:sz w:val="20"/>
                <w:szCs w:val="20"/>
                <w:lang w:val="pt-BR"/>
              </w:rPr>
            </w:pPr>
            <w:r>
              <w:rPr>
                <w:sz w:val="20"/>
                <w:szCs w:val="20"/>
                <w:lang w:val="pt-BR"/>
              </w:rPr>
              <w:t>34.3</w:t>
            </w:r>
          </w:p>
        </w:tc>
        <w:tc>
          <w:tcPr>
            <w:tcW w:w="1620" w:type="dxa"/>
            <w:tcBorders>
              <w:left w:val="nil"/>
              <w:right w:val="nil"/>
            </w:tcBorders>
            <w:vAlign w:val="center"/>
          </w:tcPr>
          <w:p w14:paraId="08F9E8B4" w14:textId="4BD59DEF" w:rsidR="00657871" w:rsidRDefault="00C32BB8" w:rsidP="00657871">
            <w:pPr>
              <w:jc w:val="center"/>
              <w:rPr>
                <w:sz w:val="20"/>
                <w:szCs w:val="20"/>
                <w:lang w:val="pt-BR"/>
              </w:rPr>
            </w:pPr>
            <w:r>
              <w:rPr>
                <w:sz w:val="20"/>
                <w:szCs w:val="20"/>
                <w:lang w:val="pt-BR"/>
              </w:rPr>
              <w:t>37.8</w:t>
            </w:r>
          </w:p>
        </w:tc>
        <w:tc>
          <w:tcPr>
            <w:tcW w:w="1440" w:type="dxa"/>
            <w:tcBorders>
              <w:left w:val="nil"/>
              <w:right w:val="nil"/>
            </w:tcBorders>
            <w:vAlign w:val="center"/>
          </w:tcPr>
          <w:p w14:paraId="7660FDA1" w14:textId="5D48B140" w:rsidR="00657871" w:rsidRDefault="00C32BB8" w:rsidP="00657871">
            <w:pPr>
              <w:jc w:val="center"/>
              <w:rPr>
                <w:sz w:val="20"/>
                <w:szCs w:val="20"/>
                <w:lang w:val="pt-BR"/>
              </w:rPr>
            </w:pPr>
            <w:r>
              <w:rPr>
                <w:sz w:val="20"/>
                <w:szCs w:val="20"/>
                <w:lang w:val="pt-BR"/>
              </w:rPr>
              <w:t>36.5</w:t>
            </w:r>
          </w:p>
        </w:tc>
        <w:tc>
          <w:tcPr>
            <w:tcW w:w="1260" w:type="dxa"/>
            <w:tcBorders>
              <w:left w:val="nil"/>
              <w:right w:val="nil"/>
            </w:tcBorders>
            <w:vAlign w:val="center"/>
          </w:tcPr>
          <w:p w14:paraId="14BDA0D4" w14:textId="22C990B2" w:rsidR="00657871" w:rsidRDefault="00657871" w:rsidP="00657871">
            <w:pPr>
              <w:jc w:val="center"/>
              <w:rPr>
                <w:sz w:val="20"/>
                <w:szCs w:val="20"/>
                <w:lang w:val="pt-BR"/>
              </w:rPr>
            </w:pPr>
            <w:r>
              <w:rPr>
                <w:sz w:val="20"/>
                <w:szCs w:val="20"/>
                <w:lang w:val="pt-BR"/>
              </w:rPr>
              <w:t>3</w:t>
            </w:r>
            <w:r w:rsidR="00C32BB8">
              <w:rPr>
                <w:sz w:val="20"/>
                <w:szCs w:val="20"/>
                <w:lang w:val="pt-BR"/>
              </w:rPr>
              <w:t>1.5</w:t>
            </w:r>
          </w:p>
        </w:tc>
        <w:tc>
          <w:tcPr>
            <w:tcW w:w="1530" w:type="dxa"/>
            <w:tcBorders>
              <w:left w:val="nil"/>
              <w:right w:val="nil"/>
            </w:tcBorders>
            <w:vAlign w:val="center"/>
          </w:tcPr>
          <w:p w14:paraId="01EF0B31" w14:textId="1E66C128" w:rsidR="00657871" w:rsidRDefault="00657871" w:rsidP="00657871">
            <w:pPr>
              <w:rPr>
                <w:sz w:val="20"/>
                <w:szCs w:val="20"/>
                <w:lang w:val="pt-BR"/>
              </w:rPr>
            </w:pPr>
            <w:r>
              <w:rPr>
                <w:sz w:val="20"/>
                <w:szCs w:val="20"/>
                <w:lang w:val="pt-BR"/>
              </w:rPr>
              <w:t xml:space="preserve">        </w:t>
            </w:r>
            <w:r w:rsidR="00C32BB8">
              <w:rPr>
                <w:sz w:val="20"/>
                <w:szCs w:val="20"/>
                <w:lang w:val="pt-BR"/>
              </w:rPr>
              <w:t>35.0</w:t>
            </w:r>
            <w:r>
              <w:rPr>
                <w:sz w:val="20"/>
                <w:szCs w:val="20"/>
                <w:lang w:val="pt-BR"/>
              </w:rPr>
              <w:t xml:space="preserve"> </w:t>
            </w:r>
            <w:r w:rsidR="00C32BB8">
              <w:rPr>
                <w:sz w:val="20"/>
                <w:szCs w:val="20"/>
                <w:lang w:val="pt-BR"/>
              </w:rPr>
              <w:t>b</w:t>
            </w:r>
          </w:p>
        </w:tc>
      </w:tr>
      <w:tr w:rsidR="00657871" w14:paraId="433A20D3" w14:textId="77777777" w:rsidTr="003D1D5F">
        <w:trPr>
          <w:trHeight w:val="288"/>
          <w:jc w:val="center"/>
        </w:trPr>
        <w:tc>
          <w:tcPr>
            <w:tcW w:w="3420" w:type="dxa"/>
            <w:tcBorders>
              <w:left w:val="nil"/>
              <w:right w:val="nil"/>
            </w:tcBorders>
            <w:vAlign w:val="center"/>
          </w:tcPr>
          <w:p w14:paraId="223CFB89" w14:textId="223C72D8" w:rsidR="00657871" w:rsidRDefault="00657871" w:rsidP="00657871">
            <w:pPr>
              <w:rPr>
                <w:sz w:val="20"/>
                <w:szCs w:val="20"/>
                <w:lang w:val="pt-BR"/>
              </w:rPr>
            </w:pPr>
            <w:r>
              <w:rPr>
                <w:sz w:val="20"/>
                <w:szCs w:val="20"/>
                <w:lang w:val="pt-BR"/>
              </w:rPr>
              <w:t>ApronMaxx+Moly RTA 0.165F 5 fl oz</w:t>
            </w:r>
          </w:p>
        </w:tc>
        <w:tc>
          <w:tcPr>
            <w:tcW w:w="1530" w:type="dxa"/>
            <w:tcBorders>
              <w:left w:val="nil"/>
              <w:right w:val="nil"/>
            </w:tcBorders>
            <w:vAlign w:val="center"/>
          </w:tcPr>
          <w:p w14:paraId="188A7902" w14:textId="4E8FC1E6" w:rsidR="00657871" w:rsidRDefault="00143987" w:rsidP="00657871">
            <w:pPr>
              <w:jc w:val="center"/>
              <w:rPr>
                <w:sz w:val="20"/>
                <w:szCs w:val="20"/>
                <w:lang w:val="pt-BR"/>
              </w:rPr>
            </w:pPr>
            <w:r>
              <w:rPr>
                <w:sz w:val="20"/>
                <w:szCs w:val="20"/>
                <w:lang w:val="pt-BR"/>
              </w:rPr>
              <w:t>38.1</w:t>
            </w:r>
          </w:p>
        </w:tc>
        <w:tc>
          <w:tcPr>
            <w:tcW w:w="1620" w:type="dxa"/>
            <w:tcBorders>
              <w:left w:val="nil"/>
              <w:right w:val="nil"/>
            </w:tcBorders>
            <w:vAlign w:val="center"/>
          </w:tcPr>
          <w:p w14:paraId="13510B16" w14:textId="36471A64" w:rsidR="00657871" w:rsidRDefault="00C32BB8" w:rsidP="00657871">
            <w:pPr>
              <w:jc w:val="center"/>
              <w:rPr>
                <w:sz w:val="20"/>
                <w:szCs w:val="20"/>
                <w:lang w:val="pt-BR"/>
              </w:rPr>
            </w:pPr>
            <w:r>
              <w:rPr>
                <w:sz w:val="20"/>
                <w:szCs w:val="20"/>
                <w:lang w:val="pt-BR"/>
              </w:rPr>
              <w:t>35.9</w:t>
            </w:r>
          </w:p>
        </w:tc>
        <w:tc>
          <w:tcPr>
            <w:tcW w:w="1440" w:type="dxa"/>
            <w:tcBorders>
              <w:left w:val="nil"/>
              <w:right w:val="nil"/>
            </w:tcBorders>
            <w:vAlign w:val="center"/>
          </w:tcPr>
          <w:p w14:paraId="2722F7CD" w14:textId="3C4C2304" w:rsidR="00657871" w:rsidRDefault="00C32BB8" w:rsidP="00657871">
            <w:pPr>
              <w:jc w:val="center"/>
              <w:rPr>
                <w:sz w:val="20"/>
                <w:szCs w:val="20"/>
                <w:lang w:val="pt-BR"/>
              </w:rPr>
            </w:pPr>
            <w:r>
              <w:rPr>
                <w:sz w:val="20"/>
                <w:szCs w:val="20"/>
                <w:lang w:val="pt-BR"/>
              </w:rPr>
              <w:t>38.8</w:t>
            </w:r>
          </w:p>
        </w:tc>
        <w:tc>
          <w:tcPr>
            <w:tcW w:w="1260" w:type="dxa"/>
            <w:tcBorders>
              <w:left w:val="nil"/>
              <w:right w:val="nil"/>
            </w:tcBorders>
            <w:vAlign w:val="center"/>
          </w:tcPr>
          <w:p w14:paraId="3EC04CED" w14:textId="2F8AA6FF" w:rsidR="00657871" w:rsidRDefault="00657871" w:rsidP="00657871">
            <w:pPr>
              <w:jc w:val="center"/>
              <w:rPr>
                <w:sz w:val="20"/>
                <w:szCs w:val="20"/>
                <w:lang w:val="pt-BR"/>
              </w:rPr>
            </w:pPr>
            <w:r>
              <w:rPr>
                <w:sz w:val="20"/>
                <w:szCs w:val="20"/>
                <w:lang w:val="pt-BR"/>
              </w:rPr>
              <w:t>3</w:t>
            </w:r>
            <w:r w:rsidR="00C32BB8">
              <w:rPr>
                <w:sz w:val="20"/>
                <w:szCs w:val="20"/>
                <w:lang w:val="pt-BR"/>
              </w:rPr>
              <w:t>7.9</w:t>
            </w:r>
          </w:p>
        </w:tc>
        <w:tc>
          <w:tcPr>
            <w:tcW w:w="1530" w:type="dxa"/>
            <w:tcBorders>
              <w:left w:val="nil"/>
              <w:right w:val="nil"/>
            </w:tcBorders>
            <w:vAlign w:val="center"/>
          </w:tcPr>
          <w:p w14:paraId="03893EC8" w14:textId="4541734B" w:rsidR="00657871" w:rsidRDefault="00657871" w:rsidP="00657871">
            <w:pPr>
              <w:rPr>
                <w:sz w:val="20"/>
                <w:szCs w:val="20"/>
                <w:lang w:val="pt-BR"/>
              </w:rPr>
            </w:pPr>
            <w:r>
              <w:rPr>
                <w:sz w:val="20"/>
                <w:szCs w:val="20"/>
                <w:lang w:val="pt-BR"/>
              </w:rPr>
              <w:t xml:space="preserve">        </w:t>
            </w:r>
            <w:r w:rsidR="00C32BB8">
              <w:rPr>
                <w:sz w:val="20"/>
                <w:szCs w:val="20"/>
                <w:lang w:val="pt-BR"/>
              </w:rPr>
              <w:t>37.7 ab</w:t>
            </w:r>
          </w:p>
        </w:tc>
      </w:tr>
      <w:tr w:rsidR="00657871" w14:paraId="192E29F7" w14:textId="77777777" w:rsidTr="003D1D5F">
        <w:trPr>
          <w:trHeight w:val="288"/>
          <w:jc w:val="center"/>
        </w:trPr>
        <w:tc>
          <w:tcPr>
            <w:tcW w:w="3420" w:type="dxa"/>
            <w:tcBorders>
              <w:left w:val="nil"/>
              <w:right w:val="nil"/>
            </w:tcBorders>
            <w:vAlign w:val="center"/>
          </w:tcPr>
          <w:p w14:paraId="280A11E6" w14:textId="15E7747C" w:rsidR="00657871" w:rsidRDefault="00657871" w:rsidP="00657871">
            <w:pPr>
              <w:rPr>
                <w:sz w:val="20"/>
                <w:szCs w:val="20"/>
                <w:lang w:val="pt-BR"/>
              </w:rPr>
            </w:pPr>
            <w:r>
              <w:rPr>
                <w:sz w:val="20"/>
                <w:szCs w:val="20"/>
                <w:lang w:val="pt-BR"/>
              </w:rPr>
              <w:t>average</w:t>
            </w:r>
            <w:r>
              <w:rPr>
                <w:sz w:val="20"/>
                <w:szCs w:val="20"/>
                <w:vertAlign w:val="superscript"/>
                <w:lang w:val="pt-BR"/>
              </w:rPr>
              <w:t>y</w:t>
            </w:r>
          </w:p>
        </w:tc>
        <w:tc>
          <w:tcPr>
            <w:tcW w:w="1530" w:type="dxa"/>
            <w:tcBorders>
              <w:left w:val="nil"/>
              <w:right w:val="nil"/>
            </w:tcBorders>
            <w:vAlign w:val="center"/>
          </w:tcPr>
          <w:p w14:paraId="255D76D4" w14:textId="16775662" w:rsidR="00657871" w:rsidRDefault="00657871" w:rsidP="00657871">
            <w:pPr>
              <w:rPr>
                <w:sz w:val="20"/>
                <w:szCs w:val="20"/>
                <w:lang w:val="pt-BR"/>
              </w:rPr>
            </w:pPr>
            <w:r>
              <w:rPr>
                <w:sz w:val="20"/>
                <w:szCs w:val="20"/>
                <w:lang w:val="pt-BR"/>
              </w:rPr>
              <w:t xml:space="preserve">         38.3 </w:t>
            </w:r>
            <w:r w:rsidR="00143987">
              <w:rPr>
                <w:sz w:val="20"/>
                <w:szCs w:val="20"/>
                <w:lang w:val="pt-BR"/>
              </w:rPr>
              <w:t>a</w:t>
            </w:r>
            <w:r w:rsidR="00143987" w:rsidRPr="003650FE">
              <w:rPr>
                <w:sz w:val="20"/>
                <w:szCs w:val="20"/>
                <w:vertAlign w:val="superscript"/>
                <w:lang w:val="pt-BR"/>
              </w:rPr>
              <w:t>x</w:t>
            </w:r>
          </w:p>
        </w:tc>
        <w:tc>
          <w:tcPr>
            <w:tcW w:w="1620" w:type="dxa"/>
            <w:tcBorders>
              <w:left w:val="nil"/>
              <w:right w:val="nil"/>
            </w:tcBorders>
            <w:vAlign w:val="center"/>
          </w:tcPr>
          <w:p w14:paraId="0DA4676E" w14:textId="4EF6960D" w:rsidR="00657871" w:rsidRDefault="00657871" w:rsidP="00657871">
            <w:pPr>
              <w:rPr>
                <w:sz w:val="20"/>
                <w:szCs w:val="20"/>
                <w:lang w:val="pt-BR"/>
              </w:rPr>
            </w:pPr>
            <w:r>
              <w:rPr>
                <w:sz w:val="20"/>
                <w:szCs w:val="20"/>
                <w:lang w:val="pt-BR"/>
              </w:rPr>
              <w:t xml:space="preserve">          </w:t>
            </w:r>
            <w:r w:rsidR="00143987">
              <w:rPr>
                <w:sz w:val="20"/>
                <w:szCs w:val="20"/>
                <w:lang w:val="pt-BR"/>
              </w:rPr>
              <w:t>36.5</w:t>
            </w:r>
            <w:r>
              <w:rPr>
                <w:sz w:val="20"/>
                <w:szCs w:val="20"/>
                <w:lang w:val="pt-BR"/>
              </w:rPr>
              <w:t xml:space="preserve"> </w:t>
            </w:r>
            <w:r w:rsidR="00143987">
              <w:rPr>
                <w:sz w:val="20"/>
                <w:szCs w:val="20"/>
                <w:lang w:val="pt-BR"/>
              </w:rPr>
              <w:t>a</w:t>
            </w:r>
          </w:p>
        </w:tc>
        <w:tc>
          <w:tcPr>
            <w:tcW w:w="1440" w:type="dxa"/>
            <w:tcBorders>
              <w:left w:val="nil"/>
              <w:right w:val="nil"/>
            </w:tcBorders>
            <w:vAlign w:val="center"/>
          </w:tcPr>
          <w:p w14:paraId="77209437" w14:textId="33391ADC" w:rsidR="00657871" w:rsidRDefault="00657871" w:rsidP="00657871">
            <w:pPr>
              <w:rPr>
                <w:sz w:val="20"/>
                <w:szCs w:val="20"/>
                <w:lang w:val="pt-BR"/>
              </w:rPr>
            </w:pPr>
            <w:r>
              <w:rPr>
                <w:sz w:val="20"/>
                <w:szCs w:val="20"/>
                <w:lang w:val="pt-BR"/>
              </w:rPr>
              <w:t xml:space="preserve">         </w:t>
            </w:r>
            <w:r w:rsidR="00143987">
              <w:rPr>
                <w:sz w:val="20"/>
                <w:szCs w:val="20"/>
                <w:lang w:val="pt-BR"/>
              </w:rPr>
              <w:t>37.6</w:t>
            </w:r>
            <w:r>
              <w:rPr>
                <w:sz w:val="20"/>
                <w:szCs w:val="20"/>
                <w:lang w:val="pt-BR"/>
              </w:rPr>
              <w:t xml:space="preserve"> a</w:t>
            </w:r>
          </w:p>
        </w:tc>
        <w:tc>
          <w:tcPr>
            <w:tcW w:w="1260" w:type="dxa"/>
            <w:tcBorders>
              <w:left w:val="nil"/>
              <w:right w:val="nil"/>
            </w:tcBorders>
            <w:vAlign w:val="center"/>
          </w:tcPr>
          <w:p w14:paraId="189195EB" w14:textId="1094257B" w:rsidR="00657871" w:rsidRDefault="00657871" w:rsidP="00657871">
            <w:pPr>
              <w:rPr>
                <w:sz w:val="20"/>
                <w:szCs w:val="20"/>
                <w:lang w:val="pt-BR"/>
              </w:rPr>
            </w:pPr>
            <w:r>
              <w:rPr>
                <w:sz w:val="20"/>
                <w:szCs w:val="20"/>
                <w:lang w:val="pt-BR"/>
              </w:rPr>
              <w:t xml:space="preserve">       </w:t>
            </w:r>
            <w:r w:rsidR="00143987">
              <w:rPr>
                <w:sz w:val="20"/>
                <w:szCs w:val="20"/>
                <w:lang w:val="pt-BR"/>
              </w:rPr>
              <w:t>35.7 a</w:t>
            </w:r>
          </w:p>
        </w:tc>
        <w:tc>
          <w:tcPr>
            <w:tcW w:w="1530" w:type="dxa"/>
            <w:tcBorders>
              <w:left w:val="nil"/>
              <w:right w:val="nil"/>
            </w:tcBorders>
            <w:vAlign w:val="center"/>
          </w:tcPr>
          <w:p w14:paraId="37E2F718" w14:textId="7253EBFF" w:rsidR="00657871" w:rsidRDefault="00657871" w:rsidP="00657871">
            <w:pPr>
              <w:rPr>
                <w:sz w:val="20"/>
                <w:szCs w:val="20"/>
                <w:lang w:val="pt-BR"/>
              </w:rPr>
            </w:pPr>
          </w:p>
        </w:tc>
      </w:tr>
    </w:tbl>
    <w:p w14:paraId="1DFFCD9E" w14:textId="77777777" w:rsidR="003650FE" w:rsidRDefault="003650FE" w:rsidP="003650FE">
      <w:pPr>
        <w:tabs>
          <w:tab w:val="left" w:leader="dot" w:pos="4500"/>
        </w:tabs>
        <w:ind w:left="180" w:hanging="180"/>
        <w:rPr>
          <w:sz w:val="20"/>
          <w:szCs w:val="20"/>
        </w:rPr>
      </w:pPr>
      <w:r w:rsidRPr="00DC1E9F">
        <w:rPr>
          <w:sz w:val="20"/>
          <w:szCs w:val="20"/>
          <w:vertAlign w:val="superscript"/>
        </w:rPr>
        <w:t>z</w:t>
      </w:r>
      <w:r>
        <w:rPr>
          <w:sz w:val="20"/>
          <w:szCs w:val="20"/>
        </w:rPr>
        <w:tab/>
        <w:t>Averaged over seeding rate.</w:t>
      </w:r>
    </w:p>
    <w:p w14:paraId="797FDFCA" w14:textId="77777777" w:rsidR="003650FE" w:rsidRDefault="003650FE" w:rsidP="003650FE">
      <w:pPr>
        <w:tabs>
          <w:tab w:val="left" w:leader="dot" w:pos="4500"/>
        </w:tabs>
        <w:ind w:left="180" w:hanging="180"/>
        <w:rPr>
          <w:sz w:val="20"/>
          <w:szCs w:val="20"/>
        </w:rPr>
      </w:pPr>
      <w:r w:rsidRPr="00DC1E9F">
        <w:rPr>
          <w:sz w:val="20"/>
          <w:szCs w:val="20"/>
          <w:vertAlign w:val="superscript"/>
        </w:rPr>
        <w:t>y</w:t>
      </w:r>
      <w:r w:rsidRPr="00DC1E9F">
        <w:rPr>
          <w:sz w:val="20"/>
          <w:szCs w:val="20"/>
        </w:rPr>
        <w:t xml:space="preserve"> </w:t>
      </w:r>
      <w:r>
        <w:rPr>
          <w:sz w:val="20"/>
          <w:szCs w:val="20"/>
        </w:rPr>
        <w:tab/>
        <w:t>Averaged over treatment.</w:t>
      </w:r>
    </w:p>
    <w:p w14:paraId="39B94DD5" w14:textId="77777777" w:rsidR="003650FE" w:rsidRPr="005B3548" w:rsidRDefault="003650FE" w:rsidP="003650FE">
      <w:pPr>
        <w:tabs>
          <w:tab w:val="left" w:leader="dot" w:pos="4500"/>
        </w:tabs>
        <w:ind w:left="180" w:hanging="180"/>
        <w:rPr>
          <w:sz w:val="20"/>
          <w:szCs w:val="20"/>
        </w:rPr>
      </w:pPr>
      <w:r w:rsidRPr="00132ED0">
        <w:rPr>
          <w:sz w:val="20"/>
          <w:szCs w:val="20"/>
          <w:vertAlign w:val="superscript"/>
        </w:rPr>
        <w:t>x</w:t>
      </w:r>
      <w:r>
        <w:rPr>
          <w:sz w:val="20"/>
          <w:szCs w:val="20"/>
        </w:rPr>
        <w:tab/>
        <w:t xml:space="preserve">Values in a column or row followed by the same letter are not statistically different at </w:t>
      </w:r>
      <w:r w:rsidRPr="00512BAF">
        <w:rPr>
          <w:sz w:val="20"/>
          <w:szCs w:val="20"/>
        </w:rPr>
        <w:t>P</w:t>
      </w:r>
      <w:r>
        <w:rPr>
          <w:sz w:val="20"/>
          <w:szCs w:val="20"/>
        </w:rPr>
        <w:t>=0.05.</w:t>
      </w:r>
    </w:p>
    <w:p w14:paraId="1D795249" w14:textId="54C829FE" w:rsidR="002B13A3" w:rsidRPr="005B3548" w:rsidRDefault="002B13A3" w:rsidP="003650FE">
      <w:pPr>
        <w:tabs>
          <w:tab w:val="left" w:leader="dot" w:pos="4500"/>
        </w:tabs>
        <w:ind w:left="180" w:hanging="180"/>
        <w:rPr>
          <w:sz w:val="20"/>
          <w:szCs w:val="20"/>
        </w:rPr>
      </w:pPr>
    </w:p>
    <w:sectPr w:rsidR="002B13A3" w:rsidRPr="005B3548" w:rsidSect="00A260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CB"/>
    <w:rsid w:val="000014B1"/>
    <w:rsid w:val="00007749"/>
    <w:rsid w:val="00007E82"/>
    <w:rsid w:val="0002378D"/>
    <w:rsid w:val="00032B18"/>
    <w:rsid w:val="00035958"/>
    <w:rsid w:val="0004661C"/>
    <w:rsid w:val="0004726B"/>
    <w:rsid w:val="00047E0E"/>
    <w:rsid w:val="00051A46"/>
    <w:rsid w:val="000536D1"/>
    <w:rsid w:val="0006279D"/>
    <w:rsid w:val="00064D11"/>
    <w:rsid w:val="00064E85"/>
    <w:rsid w:val="00067308"/>
    <w:rsid w:val="00074C14"/>
    <w:rsid w:val="0008084C"/>
    <w:rsid w:val="000911B1"/>
    <w:rsid w:val="000A0086"/>
    <w:rsid w:val="000A58A1"/>
    <w:rsid w:val="000A689A"/>
    <w:rsid w:val="000A7C46"/>
    <w:rsid w:val="000B4713"/>
    <w:rsid w:val="000C1EE0"/>
    <w:rsid w:val="000C73CB"/>
    <w:rsid w:val="000E73AE"/>
    <w:rsid w:val="000F20BD"/>
    <w:rsid w:val="00105A22"/>
    <w:rsid w:val="00113C20"/>
    <w:rsid w:val="00115BCB"/>
    <w:rsid w:val="00117643"/>
    <w:rsid w:val="00120F5A"/>
    <w:rsid w:val="001216D4"/>
    <w:rsid w:val="00123D77"/>
    <w:rsid w:val="00126C66"/>
    <w:rsid w:val="00132ED0"/>
    <w:rsid w:val="00134B0E"/>
    <w:rsid w:val="00135B94"/>
    <w:rsid w:val="00140F15"/>
    <w:rsid w:val="001413B5"/>
    <w:rsid w:val="0014371A"/>
    <w:rsid w:val="00143987"/>
    <w:rsid w:val="0014426E"/>
    <w:rsid w:val="001449FE"/>
    <w:rsid w:val="001511B3"/>
    <w:rsid w:val="00151B93"/>
    <w:rsid w:val="001679DC"/>
    <w:rsid w:val="001707B9"/>
    <w:rsid w:val="001724D6"/>
    <w:rsid w:val="00176945"/>
    <w:rsid w:val="00184694"/>
    <w:rsid w:val="00187108"/>
    <w:rsid w:val="0019534C"/>
    <w:rsid w:val="001A10FD"/>
    <w:rsid w:val="001B4876"/>
    <w:rsid w:val="001C6090"/>
    <w:rsid w:val="001D6A66"/>
    <w:rsid w:val="001E0A06"/>
    <w:rsid w:val="001E3BB3"/>
    <w:rsid w:val="001E5C46"/>
    <w:rsid w:val="001E6DC8"/>
    <w:rsid w:val="001F725A"/>
    <w:rsid w:val="0020123F"/>
    <w:rsid w:val="00202455"/>
    <w:rsid w:val="00206128"/>
    <w:rsid w:val="002101A4"/>
    <w:rsid w:val="002113C5"/>
    <w:rsid w:val="00211DD9"/>
    <w:rsid w:val="002133B4"/>
    <w:rsid w:val="002179C8"/>
    <w:rsid w:val="00234DED"/>
    <w:rsid w:val="00237AA2"/>
    <w:rsid w:val="002416F9"/>
    <w:rsid w:val="00247472"/>
    <w:rsid w:val="00262D4B"/>
    <w:rsid w:val="00264804"/>
    <w:rsid w:val="00271A3E"/>
    <w:rsid w:val="00272081"/>
    <w:rsid w:val="00274CDD"/>
    <w:rsid w:val="002824AC"/>
    <w:rsid w:val="00293834"/>
    <w:rsid w:val="002974AE"/>
    <w:rsid w:val="002A2BC8"/>
    <w:rsid w:val="002A57E0"/>
    <w:rsid w:val="002B01DD"/>
    <w:rsid w:val="002B13A3"/>
    <w:rsid w:val="002B3B48"/>
    <w:rsid w:val="002B7D5F"/>
    <w:rsid w:val="002D11C2"/>
    <w:rsid w:val="002D22E4"/>
    <w:rsid w:val="002D4DBA"/>
    <w:rsid w:val="002E1E1B"/>
    <w:rsid w:val="002E7982"/>
    <w:rsid w:val="002F2504"/>
    <w:rsid w:val="0030122F"/>
    <w:rsid w:val="00306405"/>
    <w:rsid w:val="00306E8A"/>
    <w:rsid w:val="00307D55"/>
    <w:rsid w:val="003107B6"/>
    <w:rsid w:val="00311524"/>
    <w:rsid w:val="003357D5"/>
    <w:rsid w:val="003371A2"/>
    <w:rsid w:val="00341245"/>
    <w:rsid w:val="003459B7"/>
    <w:rsid w:val="00347E21"/>
    <w:rsid w:val="00350FA5"/>
    <w:rsid w:val="003650FE"/>
    <w:rsid w:val="003745E6"/>
    <w:rsid w:val="00377D9C"/>
    <w:rsid w:val="00381056"/>
    <w:rsid w:val="00395C9D"/>
    <w:rsid w:val="003A2515"/>
    <w:rsid w:val="003A459C"/>
    <w:rsid w:val="003A4F9D"/>
    <w:rsid w:val="003C52C5"/>
    <w:rsid w:val="003C6B28"/>
    <w:rsid w:val="003D1D5F"/>
    <w:rsid w:val="003E0F07"/>
    <w:rsid w:val="003E521F"/>
    <w:rsid w:val="003F0965"/>
    <w:rsid w:val="003F34ED"/>
    <w:rsid w:val="003F7278"/>
    <w:rsid w:val="00402D52"/>
    <w:rsid w:val="004054B3"/>
    <w:rsid w:val="00407885"/>
    <w:rsid w:val="004106CF"/>
    <w:rsid w:val="00411C59"/>
    <w:rsid w:val="00432A3C"/>
    <w:rsid w:val="00450F49"/>
    <w:rsid w:val="00451435"/>
    <w:rsid w:val="00455BDC"/>
    <w:rsid w:val="00470CED"/>
    <w:rsid w:val="00481855"/>
    <w:rsid w:val="004865B5"/>
    <w:rsid w:val="004876DF"/>
    <w:rsid w:val="004877AF"/>
    <w:rsid w:val="0049756C"/>
    <w:rsid w:val="004C46C2"/>
    <w:rsid w:val="004E3735"/>
    <w:rsid w:val="004E54E2"/>
    <w:rsid w:val="004F2125"/>
    <w:rsid w:val="004F35B5"/>
    <w:rsid w:val="004F48A4"/>
    <w:rsid w:val="004F6161"/>
    <w:rsid w:val="00503852"/>
    <w:rsid w:val="005051E4"/>
    <w:rsid w:val="00505E86"/>
    <w:rsid w:val="00507122"/>
    <w:rsid w:val="00511B96"/>
    <w:rsid w:val="005120A3"/>
    <w:rsid w:val="005123F1"/>
    <w:rsid w:val="00512BAF"/>
    <w:rsid w:val="00514A1D"/>
    <w:rsid w:val="005276A8"/>
    <w:rsid w:val="00534829"/>
    <w:rsid w:val="00536A03"/>
    <w:rsid w:val="005414B8"/>
    <w:rsid w:val="00541C63"/>
    <w:rsid w:val="005455D5"/>
    <w:rsid w:val="00546E23"/>
    <w:rsid w:val="00551C40"/>
    <w:rsid w:val="00553797"/>
    <w:rsid w:val="005725D6"/>
    <w:rsid w:val="00574FBD"/>
    <w:rsid w:val="00575BA7"/>
    <w:rsid w:val="00582E4B"/>
    <w:rsid w:val="00585DC7"/>
    <w:rsid w:val="00587A07"/>
    <w:rsid w:val="00590608"/>
    <w:rsid w:val="005928A4"/>
    <w:rsid w:val="00592CA5"/>
    <w:rsid w:val="00596BC1"/>
    <w:rsid w:val="005A0394"/>
    <w:rsid w:val="005A4090"/>
    <w:rsid w:val="005A5297"/>
    <w:rsid w:val="005B3548"/>
    <w:rsid w:val="005B7CEB"/>
    <w:rsid w:val="005C1300"/>
    <w:rsid w:val="005C3F57"/>
    <w:rsid w:val="005D0EC1"/>
    <w:rsid w:val="005D146A"/>
    <w:rsid w:val="005E10D6"/>
    <w:rsid w:val="0061451D"/>
    <w:rsid w:val="00614CA5"/>
    <w:rsid w:val="0061545D"/>
    <w:rsid w:val="006276E1"/>
    <w:rsid w:val="00646FE1"/>
    <w:rsid w:val="006519BB"/>
    <w:rsid w:val="00655F85"/>
    <w:rsid w:val="006574A8"/>
    <w:rsid w:val="00657871"/>
    <w:rsid w:val="0066637C"/>
    <w:rsid w:val="00673507"/>
    <w:rsid w:val="00675AEE"/>
    <w:rsid w:val="0067694C"/>
    <w:rsid w:val="006920F0"/>
    <w:rsid w:val="006A1058"/>
    <w:rsid w:val="006A6434"/>
    <w:rsid w:val="006A6960"/>
    <w:rsid w:val="006A754C"/>
    <w:rsid w:val="006B075F"/>
    <w:rsid w:val="006B523D"/>
    <w:rsid w:val="006C66A8"/>
    <w:rsid w:val="006D06A6"/>
    <w:rsid w:val="006E1A38"/>
    <w:rsid w:val="006E244B"/>
    <w:rsid w:val="006E30F8"/>
    <w:rsid w:val="00710F40"/>
    <w:rsid w:val="007117DB"/>
    <w:rsid w:val="00715C1D"/>
    <w:rsid w:val="00724419"/>
    <w:rsid w:val="00742949"/>
    <w:rsid w:val="007440FE"/>
    <w:rsid w:val="007446B2"/>
    <w:rsid w:val="00755EAC"/>
    <w:rsid w:val="00761E64"/>
    <w:rsid w:val="00763637"/>
    <w:rsid w:val="00766246"/>
    <w:rsid w:val="007777D3"/>
    <w:rsid w:val="00785CA8"/>
    <w:rsid w:val="007A36C2"/>
    <w:rsid w:val="007A4315"/>
    <w:rsid w:val="007A55A7"/>
    <w:rsid w:val="007B0AFD"/>
    <w:rsid w:val="007B70B7"/>
    <w:rsid w:val="007C0715"/>
    <w:rsid w:val="007D10D1"/>
    <w:rsid w:val="007E19FF"/>
    <w:rsid w:val="007E4497"/>
    <w:rsid w:val="007F0797"/>
    <w:rsid w:val="007F1DA6"/>
    <w:rsid w:val="008039FD"/>
    <w:rsid w:val="008104CA"/>
    <w:rsid w:val="00813A4F"/>
    <w:rsid w:val="008158A9"/>
    <w:rsid w:val="008365E6"/>
    <w:rsid w:val="008445A1"/>
    <w:rsid w:val="00844D68"/>
    <w:rsid w:val="00845DBA"/>
    <w:rsid w:val="00852C24"/>
    <w:rsid w:val="0085631E"/>
    <w:rsid w:val="008575D5"/>
    <w:rsid w:val="00857FBA"/>
    <w:rsid w:val="00860F4E"/>
    <w:rsid w:val="0086757F"/>
    <w:rsid w:val="00884A69"/>
    <w:rsid w:val="00894286"/>
    <w:rsid w:val="00895702"/>
    <w:rsid w:val="00897589"/>
    <w:rsid w:val="008B0FF6"/>
    <w:rsid w:val="008B1385"/>
    <w:rsid w:val="008B35B5"/>
    <w:rsid w:val="008C364A"/>
    <w:rsid w:val="008C4607"/>
    <w:rsid w:val="008D2E05"/>
    <w:rsid w:val="008D69E9"/>
    <w:rsid w:val="008D7929"/>
    <w:rsid w:val="008F2AB7"/>
    <w:rsid w:val="008F350E"/>
    <w:rsid w:val="008F593F"/>
    <w:rsid w:val="008F6849"/>
    <w:rsid w:val="00913011"/>
    <w:rsid w:val="009178BF"/>
    <w:rsid w:val="0092082C"/>
    <w:rsid w:val="0092482D"/>
    <w:rsid w:val="00927E96"/>
    <w:rsid w:val="00930825"/>
    <w:rsid w:val="00944C52"/>
    <w:rsid w:val="00945DA0"/>
    <w:rsid w:val="009476A7"/>
    <w:rsid w:val="00947A66"/>
    <w:rsid w:val="0095083D"/>
    <w:rsid w:val="00956D78"/>
    <w:rsid w:val="00961BFD"/>
    <w:rsid w:val="00985CD1"/>
    <w:rsid w:val="009A5185"/>
    <w:rsid w:val="009A6797"/>
    <w:rsid w:val="009A6E90"/>
    <w:rsid w:val="009A7B40"/>
    <w:rsid w:val="009B206D"/>
    <w:rsid w:val="009B57E9"/>
    <w:rsid w:val="009E273B"/>
    <w:rsid w:val="009E3E34"/>
    <w:rsid w:val="00A025FD"/>
    <w:rsid w:val="00A041F3"/>
    <w:rsid w:val="00A04514"/>
    <w:rsid w:val="00A11C6D"/>
    <w:rsid w:val="00A11F99"/>
    <w:rsid w:val="00A14A7C"/>
    <w:rsid w:val="00A14BFF"/>
    <w:rsid w:val="00A229A3"/>
    <w:rsid w:val="00A25BBD"/>
    <w:rsid w:val="00A260B3"/>
    <w:rsid w:val="00A26899"/>
    <w:rsid w:val="00A275A7"/>
    <w:rsid w:val="00A34759"/>
    <w:rsid w:val="00A36B81"/>
    <w:rsid w:val="00A45216"/>
    <w:rsid w:val="00A569D3"/>
    <w:rsid w:val="00A57AB0"/>
    <w:rsid w:val="00A63D16"/>
    <w:rsid w:val="00A66994"/>
    <w:rsid w:val="00A71F3C"/>
    <w:rsid w:val="00A92E2C"/>
    <w:rsid w:val="00A9403B"/>
    <w:rsid w:val="00A94FBA"/>
    <w:rsid w:val="00AA104F"/>
    <w:rsid w:val="00AA3ECB"/>
    <w:rsid w:val="00AB30E8"/>
    <w:rsid w:val="00AB6C86"/>
    <w:rsid w:val="00AC39DA"/>
    <w:rsid w:val="00AC3F92"/>
    <w:rsid w:val="00AC47F5"/>
    <w:rsid w:val="00AE5199"/>
    <w:rsid w:val="00AE765C"/>
    <w:rsid w:val="00AF1A1A"/>
    <w:rsid w:val="00B05E3A"/>
    <w:rsid w:val="00B140E6"/>
    <w:rsid w:val="00B2678B"/>
    <w:rsid w:val="00B312A3"/>
    <w:rsid w:val="00B34A26"/>
    <w:rsid w:val="00B36041"/>
    <w:rsid w:val="00B369A9"/>
    <w:rsid w:val="00B37020"/>
    <w:rsid w:val="00B67D49"/>
    <w:rsid w:val="00B82254"/>
    <w:rsid w:val="00B827FF"/>
    <w:rsid w:val="00B86D78"/>
    <w:rsid w:val="00B939EE"/>
    <w:rsid w:val="00BD6BC8"/>
    <w:rsid w:val="00BE2610"/>
    <w:rsid w:val="00BE2B55"/>
    <w:rsid w:val="00BF40B6"/>
    <w:rsid w:val="00BF623F"/>
    <w:rsid w:val="00C04EFB"/>
    <w:rsid w:val="00C14E7C"/>
    <w:rsid w:val="00C223AD"/>
    <w:rsid w:val="00C248BB"/>
    <w:rsid w:val="00C24DB9"/>
    <w:rsid w:val="00C2562E"/>
    <w:rsid w:val="00C300F6"/>
    <w:rsid w:val="00C32BB8"/>
    <w:rsid w:val="00C36E72"/>
    <w:rsid w:val="00C45472"/>
    <w:rsid w:val="00C47D9A"/>
    <w:rsid w:val="00C63D4E"/>
    <w:rsid w:val="00C6462B"/>
    <w:rsid w:val="00C7013F"/>
    <w:rsid w:val="00C70540"/>
    <w:rsid w:val="00C72256"/>
    <w:rsid w:val="00C743BD"/>
    <w:rsid w:val="00C758EC"/>
    <w:rsid w:val="00C779D3"/>
    <w:rsid w:val="00C819F4"/>
    <w:rsid w:val="00C86C6F"/>
    <w:rsid w:val="00C86CBD"/>
    <w:rsid w:val="00C91C0E"/>
    <w:rsid w:val="00C97681"/>
    <w:rsid w:val="00CA68B0"/>
    <w:rsid w:val="00CA6AF0"/>
    <w:rsid w:val="00CB40C5"/>
    <w:rsid w:val="00CC6B2A"/>
    <w:rsid w:val="00CD286D"/>
    <w:rsid w:val="00CE4793"/>
    <w:rsid w:val="00CE747D"/>
    <w:rsid w:val="00CF0DA8"/>
    <w:rsid w:val="00CF1C75"/>
    <w:rsid w:val="00D0079E"/>
    <w:rsid w:val="00D069E6"/>
    <w:rsid w:val="00D31CE3"/>
    <w:rsid w:val="00D32DE8"/>
    <w:rsid w:val="00D61D27"/>
    <w:rsid w:val="00D64F76"/>
    <w:rsid w:val="00D70049"/>
    <w:rsid w:val="00D70B44"/>
    <w:rsid w:val="00D735E2"/>
    <w:rsid w:val="00D81A43"/>
    <w:rsid w:val="00D82D41"/>
    <w:rsid w:val="00D84D11"/>
    <w:rsid w:val="00DA32DF"/>
    <w:rsid w:val="00DB790B"/>
    <w:rsid w:val="00DC1E9F"/>
    <w:rsid w:val="00DD0C5B"/>
    <w:rsid w:val="00DD1C9F"/>
    <w:rsid w:val="00DD3C56"/>
    <w:rsid w:val="00DE0553"/>
    <w:rsid w:val="00DE178F"/>
    <w:rsid w:val="00DF2CCF"/>
    <w:rsid w:val="00DF53A5"/>
    <w:rsid w:val="00E03E63"/>
    <w:rsid w:val="00E11C42"/>
    <w:rsid w:val="00E15763"/>
    <w:rsid w:val="00E16AB7"/>
    <w:rsid w:val="00E21F64"/>
    <w:rsid w:val="00E246B3"/>
    <w:rsid w:val="00E252B0"/>
    <w:rsid w:val="00E268EB"/>
    <w:rsid w:val="00E276FC"/>
    <w:rsid w:val="00E305B0"/>
    <w:rsid w:val="00E328E0"/>
    <w:rsid w:val="00E35368"/>
    <w:rsid w:val="00E36369"/>
    <w:rsid w:val="00E36505"/>
    <w:rsid w:val="00E40CC9"/>
    <w:rsid w:val="00E433BD"/>
    <w:rsid w:val="00E44A37"/>
    <w:rsid w:val="00E459BD"/>
    <w:rsid w:val="00E47761"/>
    <w:rsid w:val="00E561C5"/>
    <w:rsid w:val="00E62846"/>
    <w:rsid w:val="00E63583"/>
    <w:rsid w:val="00E71D17"/>
    <w:rsid w:val="00E734DF"/>
    <w:rsid w:val="00E76B27"/>
    <w:rsid w:val="00E81012"/>
    <w:rsid w:val="00E841C6"/>
    <w:rsid w:val="00E8657D"/>
    <w:rsid w:val="00E91368"/>
    <w:rsid w:val="00EB1FAC"/>
    <w:rsid w:val="00EB24F1"/>
    <w:rsid w:val="00EB284D"/>
    <w:rsid w:val="00EC6146"/>
    <w:rsid w:val="00EC6819"/>
    <w:rsid w:val="00ED358C"/>
    <w:rsid w:val="00ED3B48"/>
    <w:rsid w:val="00ED57A0"/>
    <w:rsid w:val="00EF5C66"/>
    <w:rsid w:val="00EF627B"/>
    <w:rsid w:val="00EF7C93"/>
    <w:rsid w:val="00F126F0"/>
    <w:rsid w:val="00F15BA9"/>
    <w:rsid w:val="00F15F13"/>
    <w:rsid w:val="00F250CB"/>
    <w:rsid w:val="00F263E1"/>
    <w:rsid w:val="00F367F2"/>
    <w:rsid w:val="00F37FB5"/>
    <w:rsid w:val="00F42DD6"/>
    <w:rsid w:val="00F521CB"/>
    <w:rsid w:val="00F52631"/>
    <w:rsid w:val="00F64B66"/>
    <w:rsid w:val="00F65C93"/>
    <w:rsid w:val="00F731E0"/>
    <w:rsid w:val="00F73B29"/>
    <w:rsid w:val="00F807B1"/>
    <w:rsid w:val="00FB26A4"/>
    <w:rsid w:val="00FC7B89"/>
    <w:rsid w:val="00FD0149"/>
    <w:rsid w:val="00FD3DBA"/>
    <w:rsid w:val="00FE2A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E880C"/>
  <w15:docId w15:val="{73369E05-B7A9-2749-AA45-8FCAFCD9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3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5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B6C86"/>
    <w:rPr>
      <w:color w:val="0000FF"/>
      <w:u w:val="single"/>
    </w:rPr>
  </w:style>
  <w:style w:type="paragraph" w:styleId="BalloonText">
    <w:name w:val="Balloon Text"/>
    <w:basedOn w:val="Normal"/>
    <w:semiHidden/>
    <w:rsid w:val="007244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Spinach (Spinacia oleracea)</vt:lpstr>
    </vt:vector>
  </TitlesOfParts>
  <Company>Oklahoma State University</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Spinach (Spinacia oleracea)</dc:title>
  <dc:subject/>
  <dc:creator>Reviewer</dc:creator>
  <cp:keywords/>
  <dc:description/>
  <cp:lastModifiedBy>Cate Newberg</cp:lastModifiedBy>
  <cp:revision>2</cp:revision>
  <cp:lastPrinted>2019-12-19T01:19:00Z</cp:lastPrinted>
  <dcterms:created xsi:type="dcterms:W3CDTF">2020-06-02T16:38:00Z</dcterms:created>
  <dcterms:modified xsi:type="dcterms:W3CDTF">2020-06-02T16:38:00Z</dcterms:modified>
</cp:coreProperties>
</file>