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83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19"/>
        <w:gridCol w:w="5436"/>
        <w:gridCol w:w="83"/>
      </w:tblGrid>
      <w:tr w:rsidR="009D5AFE" w:rsidRPr="009D5AFE" w:rsidTr="00342598">
        <w:trPr>
          <w:gridAfter w:val="1"/>
          <w:wAfter w:w="83" w:type="dxa"/>
        </w:trPr>
        <w:tc>
          <w:tcPr>
            <w:tcW w:w="3319"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r w:rsidRPr="009D5AFE">
              <w:rPr>
                <w:color w:val="auto"/>
              </w:rPr>
              <w:t xml:space="preserve">Project Number: </w:t>
            </w:r>
          </w:p>
        </w:tc>
        <w:tc>
          <w:tcPr>
            <w:tcW w:w="5436" w:type="dxa"/>
            <w:tcMar>
              <w:top w:w="43" w:type="dxa"/>
              <w:left w:w="0" w:type="dxa"/>
              <w:bottom w:w="43" w:type="dxa"/>
              <w:right w:w="0" w:type="dxa"/>
            </w:tcMar>
          </w:tcPr>
          <w:p w:rsidR="00080D5F" w:rsidRPr="00080D5F" w:rsidRDefault="00080D5F" w:rsidP="00C602B2"/>
          <w:p w:rsidR="00335A26" w:rsidRPr="00080D5F" w:rsidRDefault="00CD1DA7" w:rsidP="00C602B2">
            <w:r>
              <w:rPr>
                <w:color w:val="000000"/>
                <w:sz w:val="24"/>
                <w:szCs w:val="22"/>
              </w:rPr>
              <w:t>USB #1730-352-0506</w:t>
            </w:r>
            <w:bookmarkStart w:id="0" w:name="_GoBack"/>
            <w:bookmarkEnd w:id="0"/>
          </w:p>
        </w:tc>
      </w:tr>
      <w:tr w:rsidR="009D5AFE" w:rsidRPr="009D5AFE" w:rsidTr="00342598">
        <w:trPr>
          <w:gridAfter w:val="1"/>
          <w:wAfter w:w="83" w:type="dxa"/>
        </w:trPr>
        <w:tc>
          <w:tcPr>
            <w:tcW w:w="3319"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36" w:type="dxa"/>
            <w:tcMar>
              <w:top w:w="43" w:type="dxa"/>
              <w:left w:w="0" w:type="dxa"/>
              <w:bottom w:w="43" w:type="dxa"/>
              <w:right w:w="0" w:type="dxa"/>
            </w:tcMar>
          </w:tcPr>
          <w:p w:rsidR="00335A26" w:rsidRPr="00080D5F" w:rsidRDefault="000B6AE7" w:rsidP="00C602B2">
            <w:r w:rsidRPr="00374643">
              <w:rPr>
                <w:b/>
                <w:sz w:val="24"/>
                <w:szCs w:val="24"/>
              </w:rPr>
              <w:t>Comparing selected vs. non-selected rainbow trout to elucidate resistance to soybean meal caused distal enteritis.</w:t>
            </w:r>
          </w:p>
        </w:tc>
      </w:tr>
      <w:tr w:rsidR="009D5AFE" w:rsidRPr="009D5AFE" w:rsidTr="00342598">
        <w:trPr>
          <w:gridAfter w:val="1"/>
          <w:wAfter w:w="83" w:type="dxa"/>
        </w:trPr>
        <w:tc>
          <w:tcPr>
            <w:tcW w:w="3319"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36" w:type="dxa"/>
            <w:tcMar>
              <w:top w:w="43" w:type="dxa"/>
              <w:left w:w="0" w:type="dxa"/>
              <w:bottom w:w="43" w:type="dxa"/>
              <w:right w:w="0" w:type="dxa"/>
            </w:tcMar>
          </w:tcPr>
          <w:p w:rsidR="00335A26" w:rsidRPr="009D5AFE" w:rsidRDefault="00080D5F" w:rsidP="00C602B2">
            <w:r w:rsidRPr="00080D5F">
              <w:rPr>
                <w:sz w:val="24"/>
              </w:rPr>
              <w:t>University of Idaho, US Fish and Wildlife Service</w:t>
            </w:r>
          </w:p>
        </w:tc>
      </w:tr>
      <w:tr w:rsidR="009D5AFE" w:rsidRPr="009D5AFE" w:rsidTr="00342598">
        <w:trPr>
          <w:gridAfter w:val="1"/>
          <w:wAfter w:w="83" w:type="dxa"/>
        </w:trPr>
        <w:tc>
          <w:tcPr>
            <w:tcW w:w="3319"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36" w:type="dxa"/>
            <w:tcMar>
              <w:top w:w="43" w:type="dxa"/>
              <w:left w:w="0" w:type="dxa"/>
              <w:bottom w:w="43" w:type="dxa"/>
              <w:right w:w="0" w:type="dxa"/>
            </w:tcMar>
          </w:tcPr>
          <w:p w:rsidR="00335A26" w:rsidRPr="009D5AFE" w:rsidRDefault="00080D5F" w:rsidP="00C602B2">
            <w:r w:rsidRPr="00080D5F">
              <w:rPr>
                <w:sz w:val="24"/>
              </w:rPr>
              <w:t>Matt Powell, Gibson Gaylord and Wendy Sealey</w:t>
            </w:r>
            <w:r w:rsidR="000B6AE7">
              <w:rPr>
                <w:sz w:val="24"/>
              </w:rPr>
              <w:t>, Ken Overturf</w:t>
            </w:r>
          </w:p>
        </w:tc>
      </w:tr>
      <w:tr w:rsidR="00773484" w:rsidTr="00342598">
        <w:trPr>
          <w:gridAfter w:val="1"/>
          <w:wAfter w:w="83" w:type="dxa"/>
          <w:trHeight w:val="1180"/>
        </w:trPr>
        <w:tc>
          <w:tcPr>
            <w:tcW w:w="8755" w:type="dxa"/>
            <w:gridSpan w:val="2"/>
            <w:tcMar>
              <w:top w:w="43" w:type="dxa"/>
              <w:left w:w="0" w:type="dxa"/>
              <w:bottom w:w="43" w:type="dxa"/>
              <w:right w:w="0" w:type="dxa"/>
            </w:tcMar>
          </w:tcPr>
          <w:p w:rsidR="00773484" w:rsidRPr="00693D9D" w:rsidRDefault="00773484" w:rsidP="00F070B4">
            <w:pPr>
              <w:pStyle w:val="Heading2"/>
              <w:numPr>
                <w:ilvl w:val="0"/>
                <w:numId w:val="0"/>
              </w:numPr>
              <w:ind w:left="576" w:hanging="576"/>
              <w:outlineLvl w:val="1"/>
              <w:rPr>
                <w:b w:val="0"/>
              </w:rPr>
            </w:pPr>
            <w:r w:rsidRPr="008041BE">
              <w:t xml:space="preserve">Project </w:t>
            </w:r>
            <w:r w:rsidR="008041BE">
              <w:t>Status</w:t>
            </w:r>
            <w:r w:rsidR="00FF4F4F" w:rsidRPr="008041BE">
              <w:t xml:space="preserve"> - </w:t>
            </w:r>
            <w:r w:rsidR="00FF4F4F" w:rsidRPr="008041BE">
              <w:rPr>
                <w:b w:val="0"/>
              </w:rPr>
              <w:t xml:space="preserve">What </w:t>
            </w:r>
            <w:r w:rsidR="0025429E" w:rsidRPr="008041BE">
              <w:rPr>
                <w:b w:val="0"/>
              </w:rPr>
              <w:t xml:space="preserve">key activities were undertaken and what were the key </w:t>
            </w:r>
            <w:r w:rsidR="00FF4F4F" w:rsidRPr="008041BE">
              <w:rPr>
                <w:b w:val="0"/>
              </w:rPr>
              <w:t>accomplis</w:t>
            </w:r>
            <w:r w:rsidR="0025429E" w:rsidRPr="008041BE">
              <w:rPr>
                <w:b w:val="0"/>
              </w:rPr>
              <w:t>hments</w:t>
            </w:r>
            <w:r w:rsidR="00FF4F4F" w:rsidRPr="008041BE">
              <w:rPr>
                <w:b w:val="0"/>
              </w:rPr>
              <w:t xml:space="preserve"> during the life of </w:t>
            </w:r>
            <w:r w:rsidR="004C0762" w:rsidRPr="008041BE">
              <w:rPr>
                <w:b w:val="0"/>
              </w:rPr>
              <w:t>this</w:t>
            </w:r>
            <w:r w:rsidR="00FF4F4F" w:rsidRPr="008041BE">
              <w:rPr>
                <w:b w:val="0"/>
              </w:rPr>
              <w:t xml:space="preserve"> project</w:t>
            </w:r>
            <w:r w:rsidR="00083E61" w:rsidRPr="008041BE">
              <w:rPr>
                <w:b w:val="0"/>
              </w:rPr>
              <w:t>?</w:t>
            </w:r>
            <w:r w:rsidR="00693D9D" w:rsidRPr="008041BE">
              <w:rPr>
                <w:b w:val="0"/>
              </w:rPr>
              <w:t xml:space="preserve">  </w:t>
            </w:r>
            <w:r w:rsidR="008041BE" w:rsidRPr="008041BE">
              <w:rPr>
                <w:b w:val="0"/>
              </w:rPr>
              <w:t xml:space="preserve">Please use this field to clearly and concisely report on project progress.  The information included should reflect quantifiable results </w:t>
            </w:r>
            <w:r w:rsidR="00F070B4">
              <w:rPr>
                <w:b w:val="0"/>
              </w:rPr>
              <w:t xml:space="preserve">(expand upon the KPIs) </w:t>
            </w:r>
            <w:r w:rsidR="008041BE" w:rsidRPr="008041BE">
              <w:rPr>
                <w:b w:val="0"/>
              </w:rPr>
              <w:t xml:space="preserve">that can be used to evaluate and measure project success.  Technical reports, no longer than 4 pages, may be </w:t>
            </w:r>
            <w:r w:rsidR="00F070B4">
              <w:rPr>
                <w:b w:val="0"/>
              </w:rPr>
              <w:t xml:space="preserve">included in this section.  </w:t>
            </w:r>
          </w:p>
        </w:tc>
      </w:tr>
      <w:tr w:rsidR="00773484" w:rsidTr="00342598">
        <w:trPr>
          <w:gridAfter w:val="1"/>
          <w:wAfter w:w="83" w:type="dxa"/>
          <w:trHeight w:val="1630"/>
        </w:trPr>
        <w:tc>
          <w:tcPr>
            <w:tcW w:w="8755" w:type="dxa"/>
            <w:gridSpan w:val="2"/>
            <w:tcMar>
              <w:top w:w="43" w:type="dxa"/>
              <w:left w:w="0" w:type="dxa"/>
              <w:bottom w:w="43" w:type="dxa"/>
              <w:right w:w="0" w:type="dxa"/>
            </w:tcMar>
          </w:tcPr>
          <w:p w:rsidR="000B6AE7" w:rsidRDefault="000B6AE7" w:rsidP="000B6AE7">
            <w:pPr>
              <w:rPr>
                <w:sz w:val="24"/>
                <w:szCs w:val="24"/>
              </w:rPr>
            </w:pPr>
            <w:r w:rsidRPr="004E75DE">
              <w:rPr>
                <w:sz w:val="24"/>
                <w:szCs w:val="24"/>
              </w:rPr>
              <w:t xml:space="preserve">Selected line, USDA/UI rainbow trout at the Hagerman Fish Culture Experiment Station were spawned in mid-October and eggs were held on station until a Montana Fish Wildlife and Parks importation </w:t>
            </w:r>
            <w:r>
              <w:rPr>
                <w:sz w:val="24"/>
                <w:szCs w:val="24"/>
              </w:rPr>
              <w:t xml:space="preserve">permit </w:t>
            </w:r>
            <w:r w:rsidRPr="004E75DE">
              <w:rPr>
                <w:sz w:val="24"/>
                <w:szCs w:val="24"/>
              </w:rPr>
              <w:t>(</w:t>
            </w:r>
            <w:r w:rsidRPr="004E75DE">
              <w:rPr>
                <w:rFonts w:eastAsiaTheme="minorHAnsi"/>
                <w:bCs w:val="0"/>
                <w:kern w:val="0"/>
                <w:sz w:val="24"/>
                <w:szCs w:val="24"/>
              </w:rPr>
              <w:t>No. 13011-4-1016-1)</w:t>
            </w:r>
            <w:r>
              <w:rPr>
                <w:rFonts w:eastAsiaTheme="minorHAnsi"/>
                <w:bCs w:val="0"/>
                <w:kern w:val="0"/>
                <w:sz w:val="24"/>
                <w:szCs w:val="24"/>
              </w:rPr>
              <w:t xml:space="preserve"> was issued on October 19th</w:t>
            </w:r>
            <w:r w:rsidRPr="004E75DE">
              <w:rPr>
                <w:sz w:val="24"/>
                <w:szCs w:val="24"/>
              </w:rPr>
              <w:t xml:space="preserve">. </w:t>
            </w:r>
            <w:r>
              <w:rPr>
                <w:sz w:val="24"/>
                <w:szCs w:val="24"/>
              </w:rPr>
              <w:t>As per permit requirement, approximately 2500 eyed eggs were transferred from the Hagerman Station to the Bozeman Fish Technology Center after November 1</w:t>
            </w:r>
            <w:r w:rsidRPr="004E75DE">
              <w:rPr>
                <w:sz w:val="24"/>
                <w:szCs w:val="24"/>
                <w:vertAlign w:val="superscript"/>
              </w:rPr>
              <w:t>st</w:t>
            </w:r>
            <w:r>
              <w:rPr>
                <w:sz w:val="24"/>
                <w:szCs w:val="24"/>
              </w:rPr>
              <w:t>. Selected line eggs were received in Bozeman on November 3</w:t>
            </w:r>
            <w:r w:rsidRPr="0063564F">
              <w:rPr>
                <w:sz w:val="24"/>
                <w:szCs w:val="24"/>
                <w:vertAlign w:val="superscript"/>
              </w:rPr>
              <w:t>rd</w:t>
            </w:r>
            <w:r>
              <w:rPr>
                <w:sz w:val="24"/>
                <w:szCs w:val="24"/>
              </w:rPr>
              <w:t xml:space="preserve"> and have hatched. Fry are being fed a commercial diet prior to the experimental feeding trial. Unselected line eggs (obtained from Troutlodge in the first week of November) have also hatched are are being fed the same diet prior to treatment. </w:t>
            </w:r>
          </w:p>
          <w:p w:rsidR="000B6AE7" w:rsidRDefault="000B6AE7" w:rsidP="000B6AE7">
            <w:pPr>
              <w:rPr>
                <w:sz w:val="24"/>
                <w:szCs w:val="24"/>
              </w:rPr>
            </w:pPr>
          </w:p>
          <w:p w:rsidR="000B6AE7" w:rsidRPr="00EC6A04" w:rsidRDefault="000B6AE7" w:rsidP="000B6AE7">
            <w:pPr>
              <w:rPr>
                <w:sz w:val="24"/>
                <w:szCs w:val="24"/>
              </w:rPr>
            </w:pPr>
            <w:r>
              <w:rPr>
                <w:sz w:val="24"/>
                <w:szCs w:val="24"/>
              </w:rPr>
              <w:t>The 2x2 factorial design feeding trial (</w:t>
            </w:r>
            <w:r w:rsidR="00263AD6">
              <w:rPr>
                <w:sz w:val="24"/>
                <w:szCs w:val="24"/>
              </w:rPr>
              <w:t>lasting</w:t>
            </w:r>
            <w:r>
              <w:rPr>
                <w:sz w:val="24"/>
                <w:szCs w:val="24"/>
              </w:rPr>
              <w:t xml:space="preserve"> 12 weeks) began May 18</w:t>
            </w:r>
            <w:r w:rsidRPr="00925569">
              <w:rPr>
                <w:sz w:val="24"/>
                <w:szCs w:val="24"/>
                <w:vertAlign w:val="superscript"/>
              </w:rPr>
              <w:t>th</w:t>
            </w:r>
            <w:r>
              <w:rPr>
                <w:sz w:val="24"/>
                <w:szCs w:val="24"/>
              </w:rPr>
              <w:t xml:space="preserve"> once both groups of fish reached approximately 40 g in size.  Fry from both groups were placed on experimental diets and initial measurements and samples were taken. Fish were also measured (weight) and tissues sampled for qPCR and histology on 4 week</w:t>
            </w:r>
            <w:r w:rsidR="00AC7CB5">
              <w:rPr>
                <w:sz w:val="24"/>
                <w:szCs w:val="24"/>
              </w:rPr>
              <w:t>, 8 week and 12 week</w:t>
            </w:r>
            <w:r>
              <w:rPr>
                <w:sz w:val="24"/>
                <w:szCs w:val="24"/>
              </w:rPr>
              <w:t xml:space="preserve"> sample point</w:t>
            </w:r>
            <w:r w:rsidR="00AC7CB5">
              <w:rPr>
                <w:sz w:val="24"/>
                <w:szCs w:val="24"/>
              </w:rPr>
              <w:t>s</w:t>
            </w:r>
            <w:r>
              <w:rPr>
                <w:sz w:val="24"/>
                <w:szCs w:val="24"/>
              </w:rPr>
              <w:t>.</w:t>
            </w:r>
            <w:r w:rsidR="005B7920">
              <w:rPr>
                <w:sz w:val="24"/>
                <w:szCs w:val="24"/>
              </w:rPr>
              <w:t xml:space="preserve"> Specific genes that were examined include</w:t>
            </w:r>
            <w:r w:rsidR="000B6DD8">
              <w:rPr>
                <w:sz w:val="24"/>
                <w:szCs w:val="24"/>
              </w:rPr>
              <w:t>d all I</w:t>
            </w:r>
            <w:r w:rsidR="005B7920">
              <w:rPr>
                <w:sz w:val="24"/>
                <w:szCs w:val="24"/>
              </w:rPr>
              <w:t xml:space="preserve">nterleukin 17 </w:t>
            </w:r>
            <w:r w:rsidR="000B6DD8">
              <w:rPr>
                <w:sz w:val="24"/>
                <w:szCs w:val="24"/>
              </w:rPr>
              <w:t xml:space="preserve">variants: Il-17 </w:t>
            </w:r>
            <w:r w:rsidR="005B7920">
              <w:rPr>
                <w:sz w:val="24"/>
                <w:szCs w:val="24"/>
              </w:rPr>
              <w:t xml:space="preserve">alphaF1a, </w:t>
            </w:r>
            <w:r w:rsidR="000B6DD8">
              <w:rPr>
                <w:sz w:val="24"/>
                <w:szCs w:val="24"/>
              </w:rPr>
              <w:t xml:space="preserve">Il-17 </w:t>
            </w:r>
            <w:r w:rsidR="005B7920">
              <w:rPr>
                <w:sz w:val="24"/>
                <w:szCs w:val="24"/>
              </w:rPr>
              <w:t xml:space="preserve">alphaF2a, </w:t>
            </w:r>
            <w:r w:rsidR="000B6DD8">
              <w:rPr>
                <w:sz w:val="24"/>
                <w:szCs w:val="24"/>
              </w:rPr>
              <w:t xml:space="preserve">Il-17 </w:t>
            </w:r>
            <w:r w:rsidR="005B7920">
              <w:rPr>
                <w:sz w:val="24"/>
                <w:szCs w:val="24"/>
              </w:rPr>
              <w:t>alphaF2b</w:t>
            </w:r>
            <w:r w:rsidR="000B6DD8">
              <w:rPr>
                <w:sz w:val="24"/>
                <w:szCs w:val="24"/>
              </w:rPr>
              <w:t xml:space="preserve">, Il-17 alphaF3a, </w:t>
            </w:r>
            <w:r w:rsidR="005B7920">
              <w:rPr>
                <w:sz w:val="24"/>
                <w:szCs w:val="24"/>
              </w:rPr>
              <w:t xml:space="preserve"> </w:t>
            </w:r>
            <w:r w:rsidR="000B6DD8">
              <w:rPr>
                <w:sz w:val="24"/>
                <w:szCs w:val="24"/>
              </w:rPr>
              <w:t>Il-17C Il-17D and Il-17N along with Tumor necrosis factor alpha, Interleukin 1, Interleukin 6, Interleukin 10, Interleukin 22, Forkhead box P3 and RAR-related orphan receptor gamma.</w:t>
            </w:r>
          </w:p>
          <w:p w:rsidR="000B6AE7" w:rsidRDefault="000B6AE7" w:rsidP="000B6AE7">
            <w:pPr>
              <w:rPr>
                <w:sz w:val="24"/>
                <w:szCs w:val="24"/>
              </w:rPr>
            </w:pPr>
          </w:p>
          <w:p w:rsidR="000B6AE7" w:rsidRDefault="000B6AE7" w:rsidP="000B6AE7">
            <w:pPr>
              <w:rPr>
                <w:sz w:val="24"/>
                <w:szCs w:val="24"/>
              </w:rPr>
            </w:pPr>
            <w:r>
              <w:rPr>
                <w:sz w:val="24"/>
                <w:szCs w:val="24"/>
              </w:rPr>
              <w:t xml:space="preserve">All research activities </w:t>
            </w:r>
            <w:r w:rsidR="00AC7CB5">
              <w:rPr>
                <w:sz w:val="24"/>
                <w:szCs w:val="24"/>
              </w:rPr>
              <w:t>were</w:t>
            </w:r>
            <w:r>
              <w:rPr>
                <w:sz w:val="24"/>
                <w:szCs w:val="24"/>
              </w:rPr>
              <w:t xml:space="preserve"> completed by the end of September</w:t>
            </w:r>
            <w:r w:rsidR="00AC7CB5">
              <w:rPr>
                <w:sz w:val="24"/>
                <w:szCs w:val="24"/>
              </w:rPr>
              <w:t xml:space="preserve"> 2017. </w:t>
            </w:r>
            <w:r>
              <w:rPr>
                <w:sz w:val="24"/>
                <w:szCs w:val="24"/>
              </w:rPr>
              <w:t>The data are scheduled to be presented at the annual Aquaculture America meeting in Las Vegas, NV in February.</w:t>
            </w:r>
            <w:r w:rsidR="00AC7CB5">
              <w:rPr>
                <w:sz w:val="24"/>
                <w:szCs w:val="24"/>
              </w:rPr>
              <w:t xml:space="preserve"> An abstract has been submitted for this meeting:</w:t>
            </w:r>
          </w:p>
          <w:p w:rsidR="00AC7CB5" w:rsidRDefault="00AC7CB5" w:rsidP="000B6AE7">
            <w:pPr>
              <w:rPr>
                <w:sz w:val="24"/>
                <w:szCs w:val="24"/>
              </w:rPr>
            </w:pPr>
          </w:p>
          <w:p w:rsidR="00AC7CB5" w:rsidRDefault="00AC7CB5" w:rsidP="000B6AE7">
            <w:pPr>
              <w:rPr>
                <w:sz w:val="24"/>
                <w:szCs w:val="24"/>
              </w:rPr>
            </w:pPr>
          </w:p>
          <w:p w:rsidR="00AC7CB5" w:rsidRDefault="00AC7CB5" w:rsidP="000B6AE7">
            <w:pPr>
              <w:rPr>
                <w:sz w:val="24"/>
                <w:szCs w:val="24"/>
              </w:rPr>
            </w:pPr>
          </w:p>
          <w:p w:rsidR="00AC7CB5" w:rsidRDefault="00AC7CB5" w:rsidP="000B6AE7">
            <w:pPr>
              <w:rPr>
                <w:sz w:val="24"/>
                <w:szCs w:val="24"/>
              </w:rPr>
            </w:pPr>
          </w:p>
          <w:p w:rsidR="00AC7CB5" w:rsidRDefault="00AC7CB5" w:rsidP="000B6AE7">
            <w:pPr>
              <w:rPr>
                <w:sz w:val="24"/>
                <w:szCs w:val="24"/>
              </w:rPr>
            </w:pPr>
          </w:p>
          <w:p w:rsidR="00AC7CB5" w:rsidRPr="001A2794" w:rsidRDefault="00AC7CB5" w:rsidP="00AC7CB5">
            <w:pPr>
              <w:jc w:val="both"/>
              <w:rPr>
                <w:rFonts w:ascii="Arial" w:hAnsi="Arial"/>
                <w:b/>
                <w:caps/>
              </w:rPr>
            </w:pPr>
            <w:r>
              <w:rPr>
                <w:rFonts w:ascii="Arial" w:hAnsi="Arial"/>
                <w:b/>
                <w:caps/>
              </w:rPr>
              <w:t xml:space="preserve">growth </w:t>
            </w:r>
            <w:r w:rsidRPr="001A2794">
              <w:rPr>
                <w:rFonts w:ascii="Arial" w:hAnsi="Arial"/>
                <w:b/>
                <w:caps/>
              </w:rPr>
              <w:t xml:space="preserve">Performance and Intestinal Health of </w:t>
            </w:r>
            <w:r>
              <w:rPr>
                <w:rFonts w:ascii="Arial" w:hAnsi="Arial"/>
                <w:b/>
                <w:caps/>
              </w:rPr>
              <w:t xml:space="preserve">two Different </w:t>
            </w:r>
            <w:r w:rsidRPr="001A2794">
              <w:rPr>
                <w:rFonts w:ascii="Arial" w:hAnsi="Arial"/>
                <w:b/>
                <w:caps/>
              </w:rPr>
              <w:t xml:space="preserve">Rainbow Trout </w:t>
            </w:r>
            <w:r w:rsidRPr="001B011A">
              <w:rPr>
                <w:rFonts w:ascii="Arial" w:hAnsi="Arial"/>
                <w:b/>
                <w:i/>
                <w:color w:val="000000" w:themeColor="text1"/>
              </w:rPr>
              <w:t>Oncorhynchus mykiss</w:t>
            </w:r>
            <w:r w:rsidRPr="001B011A">
              <w:rPr>
                <w:rFonts w:ascii="Arial" w:hAnsi="Arial"/>
                <w:b/>
                <w:caps/>
                <w:color w:val="000000" w:themeColor="text1"/>
              </w:rPr>
              <w:t xml:space="preserve"> </w:t>
            </w:r>
            <w:r w:rsidRPr="001A2794">
              <w:rPr>
                <w:rFonts w:ascii="Arial" w:hAnsi="Arial"/>
                <w:b/>
                <w:caps/>
              </w:rPr>
              <w:t xml:space="preserve">Strains </w:t>
            </w:r>
            <w:r>
              <w:rPr>
                <w:rFonts w:ascii="Arial" w:hAnsi="Arial"/>
                <w:b/>
                <w:caps/>
              </w:rPr>
              <w:t xml:space="preserve">fed </w:t>
            </w:r>
            <w:r w:rsidRPr="001A2794">
              <w:rPr>
                <w:rFonts w:ascii="Arial" w:hAnsi="Arial"/>
                <w:b/>
                <w:caps/>
              </w:rPr>
              <w:t>a High Soy Diet</w:t>
            </w:r>
          </w:p>
          <w:p w:rsidR="00AC7CB5" w:rsidRDefault="00AC7CB5" w:rsidP="00AC7CB5"/>
          <w:p w:rsidR="00AC7CB5" w:rsidRPr="00BA57EA" w:rsidRDefault="00AC7CB5" w:rsidP="00AC7CB5">
            <w:pPr>
              <w:ind w:left="720"/>
              <w:rPr>
                <w:rFonts w:ascii="Arial" w:hAnsi="Arial"/>
              </w:rPr>
            </w:pPr>
            <w:r w:rsidRPr="00BA57EA">
              <w:rPr>
                <w:rFonts w:ascii="Arial" w:hAnsi="Arial"/>
              </w:rPr>
              <w:t>Patrick C. Blaufuss</w:t>
            </w:r>
            <w:r w:rsidRPr="00BA57EA">
              <w:rPr>
                <w:rFonts w:ascii="Arial" w:hAnsi="Arial"/>
                <w:color w:val="4C4C6E"/>
                <w:sz w:val="20"/>
                <w:szCs w:val="20"/>
                <w:shd w:val="clear" w:color="auto" w:fill="FFFFFF"/>
              </w:rPr>
              <w:t>*</w:t>
            </w:r>
            <w:r w:rsidRPr="00BA57EA">
              <w:rPr>
                <w:rFonts w:ascii="Arial" w:hAnsi="Arial"/>
              </w:rPr>
              <w:t xml:space="preserve">, T. Gibson Gaylord, </w:t>
            </w:r>
            <w:r>
              <w:rPr>
                <w:rFonts w:ascii="Arial" w:hAnsi="Arial"/>
              </w:rPr>
              <w:t xml:space="preserve">Wendy M. Sealey, </w:t>
            </w:r>
            <w:r w:rsidRPr="00BA57EA">
              <w:rPr>
                <w:rFonts w:ascii="Arial" w:hAnsi="Arial"/>
              </w:rPr>
              <w:t>Kenneth E.</w:t>
            </w:r>
            <w:r>
              <w:rPr>
                <w:rFonts w:ascii="Arial" w:hAnsi="Arial"/>
              </w:rPr>
              <w:t xml:space="preserve"> Overturf</w:t>
            </w:r>
            <w:r w:rsidRPr="00BA57EA">
              <w:rPr>
                <w:rFonts w:ascii="Arial" w:hAnsi="Arial"/>
              </w:rPr>
              <w:t xml:space="preserve"> and Madison S. Powell</w:t>
            </w:r>
          </w:p>
          <w:p w:rsidR="00AC7CB5" w:rsidRPr="00BA57EA" w:rsidRDefault="00AC7CB5" w:rsidP="00AC7CB5">
            <w:pPr>
              <w:rPr>
                <w:rFonts w:ascii="Arial" w:hAnsi="Arial"/>
              </w:rPr>
            </w:pPr>
          </w:p>
          <w:p w:rsidR="00AC7CB5" w:rsidRPr="00BA57EA" w:rsidRDefault="00AC7CB5" w:rsidP="00AC7CB5">
            <w:pPr>
              <w:ind w:firstLine="720"/>
              <w:outlineLvl w:val="0"/>
              <w:rPr>
                <w:rFonts w:ascii="Arial" w:hAnsi="Arial"/>
              </w:rPr>
            </w:pPr>
            <w:r>
              <w:rPr>
                <w:rFonts w:ascii="Arial" w:hAnsi="Arial"/>
              </w:rPr>
              <w:t>Aquaculture Research Institute</w:t>
            </w:r>
          </w:p>
          <w:p w:rsidR="00AC7CB5" w:rsidRPr="00BA57EA" w:rsidRDefault="00AC7CB5" w:rsidP="00AC7CB5">
            <w:pPr>
              <w:ind w:firstLine="720"/>
              <w:rPr>
                <w:rFonts w:ascii="Arial" w:hAnsi="Arial"/>
              </w:rPr>
            </w:pPr>
            <w:r w:rsidRPr="00BA57EA">
              <w:rPr>
                <w:rFonts w:ascii="Arial" w:hAnsi="Arial"/>
              </w:rPr>
              <w:t>University of Idaho</w:t>
            </w:r>
          </w:p>
          <w:p w:rsidR="00AC7CB5" w:rsidRPr="00BA57EA" w:rsidRDefault="00AC7CB5" w:rsidP="00AC7CB5">
            <w:pPr>
              <w:ind w:firstLine="720"/>
              <w:rPr>
                <w:rFonts w:ascii="Arial" w:hAnsi="Arial"/>
              </w:rPr>
            </w:pPr>
            <w:r w:rsidRPr="00BA57EA">
              <w:rPr>
                <w:rFonts w:ascii="Arial" w:hAnsi="Arial"/>
              </w:rPr>
              <w:t>Moscow, ID 83844</w:t>
            </w:r>
          </w:p>
          <w:p w:rsidR="00AC7CB5" w:rsidRPr="00BA57EA" w:rsidRDefault="00AC7CB5" w:rsidP="00AC7CB5">
            <w:pPr>
              <w:ind w:firstLine="720"/>
              <w:rPr>
                <w:rFonts w:ascii="Arial" w:hAnsi="Arial"/>
              </w:rPr>
            </w:pPr>
            <w:r w:rsidRPr="00BA57EA">
              <w:rPr>
                <w:rFonts w:ascii="Arial" w:hAnsi="Arial"/>
              </w:rPr>
              <w:t>pblaufuss@uidaho.edu</w:t>
            </w:r>
          </w:p>
          <w:p w:rsidR="00AC7CB5" w:rsidRPr="00BA57EA" w:rsidRDefault="00AC7CB5" w:rsidP="00AC7CB5">
            <w:pPr>
              <w:rPr>
                <w:rFonts w:ascii="Arial" w:hAnsi="Arial"/>
              </w:rPr>
            </w:pPr>
          </w:p>
          <w:p w:rsidR="00AC7CB5" w:rsidRDefault="00AC7CB5" w:rsidP="00AC7CB5">
            <w:pPr>
              <w:jc w:val="both"/>
              <w:rPr>
                <w:rFonts w:ascii="Arial" w:hAnsi="Arial"/>
              </w:rPr>
            </w:pPr>
          </w:p>
          <w:p w:rsidR="00AC7CB5" w:rsidRDefault="00AC7CB5" w:rsidP="00AC7CB5">
            <w:pPr>
              <w:jc w:val="both"/>
              <w:rPr>
                <w:rFonts w:ascii="Arial" w:hAnsi="Arial"/>
              </w:rPr>
            </w:pPr>
            <w:r>
              <w:rPr>
                <w:rFonts w:ascii="Arial" w:hAnsi="Arial"/>
              </w:rPr>
              <w:t xml:space="preserve">In an effort </w:t>
            </w:r>
            <w:r w:rsidRPr="00BA57EA">
              <w:rPr>
                <w:rFonts w:ascii="Arial" w:hAnsi="Arial"/>
              </w:rPr>
              <w:t xml:space="preserve">to improve the utilization of soybean </w:t>
            </w:r>
            <w:r>
              <w:rPr>
                <w:rFonts w:ascii="Arial" w:hAnsi="Arial"/>
              </w:rPr>
              <w:t xml:space="preserve">meal (SBM) in diets for rainbow trout, fish at the Hagerman Fish Culture Experiment Station (HGM) have been selected for growth on a complete plant-based diet over several generations. </w:t>
            </w:r>
            <w:r w:rsidRPr="00BA57EA">
              <w:rPr>
                <w:rFonts w:ascii="Arial" w:hAnsi="Arial"/>
              </w:rPr>
              <w:t>Utilizing fish of the</w:t>
            </w:r>
            <w:r>
              <w:rPr>
                <w:rFonts w:ascii="Arial" w:hAnsi="Arial"/>
              </w:rPr>
              <w:t xml:space="preserve"> </w:t>
            </w:r>
            <w:r w:rsidRPr="00BA57EA">
              <w:rPr>
                <w:rFonts w:ascii="Arial" w:hAnsi="Arial"/>
              </w:rPr>
              <w:t>F</w:t>
            </w:r>
            <w:r>
              <w:rPr>
                <w:rFonts w:ascii="Arial" w:hAnsi="Arial"/>
              </w:rPr>
              <w:t>7</w:t>
            </w:r>
            <w:r w:rsidRPr="00BA57EA">
              <w:rPr>
                <w:rFonts w:ascii="Arial" w:hAnsi="Arial"/>
              </w:rPr>
              <w:t xml:space="preserve"> generation and </w:t>
            </w:r>
            <w:r>
              <w:rPr>
                <w:rFonts w:ascii="Arial" w:hAnsi="Arial"/>
              </w:rPr>
              <w:t xml:space="preserve">a </w:t>
            </w:r>
            <w:r w:rsidRPr="00BA57EA">
              <w:rPr>
                <w:rFonts w:ascii="Arial" w:hAnsi="Arial"/>
              </w:rPr>
              <w:t xml:space="preserve">commercial </w:t>
            </w:r>
            <w:r>
              <w:rPr>
                <w:rFonts w:ascii="Arial" w:hAnsi="Arial"/>
              </w:rPr>
              <w:t xml:space="preserve">selected </w:t>
            </w:r>
            <w:r w:rsidRPr="00BA57EA">
              <w:rPr>
                <w:rFonts w:ascii="Arial" w:hAnsi="Arial"/>
              </w:rPr>
              <w:t>strain</w:t>
            </w:r>
            <w:r>
              <w:rPr>
                <w:rFonts w:ascii="Arial" w:hAnsi="Arial"/>
              </w:rPr>
              <w:t xml:space="preserve"> (CSS)</w:t>
            </w:r>
            <w:r w:rsidRPr="00BA57EA">
              <w:rPr>
                <w:rFonts w:ascii="Arial" w:hAnsi="Arial"/>
              </w:rPr>
              <w:t xml:space="preserve">, we sought to investigate differences in growth and intestinal health when fed a 40% SBM diet. Triplicate tanks (30 fish, initial weight 77.9 ± 1.1 g) of each strain were fed diets for 12 weeks containing either 0% or 40% SBM </w:t>
            </w:r>
            <w:r>
              <w:rPr>
                <w:rFonts w:ascii="Arial" w:hAnsi="Arial"/>
              </w:rPr>
              <w:t>in a 2 X 2 factorial design</w:t>
            </w:r>
            <w:r w:rsidRPr="00BA57EA">
              <w:rPr>
                <w:rFonts w:ascii="Arial" w:hAnsi="Arial"/>
              </w:rPr>
              <w:t xml:space="preserve">. Five fish from each tank were sampled every four weeks to collect samples of liver and distal intestine for </w:t>
            </w:r>
            <w:r>
              <w:rPr>
                <w:rFonts w:ascii="Arial" w:hAnsi="Arial"/>
              </w:rPr>
              <w:t xml:space="preserve">gene </w:t>
            </w:r>
            <w:r w:rsidRPr="00BA57EA">
              <w:rPr>
                <w:rFonts w:ascii="Arial" w:hAnsi="Arial"/>
              </w:rPr>
              <w:t xml:space="preserve">expression analysis. At twelve weeks, the </w:t>
            </w:r>
            <w:r>
              <w:rPr>
                <w:rFonts w:ascii="Arial" w:hAnsi="Arial"/>
              </w:rPr>
              <w:t>HGM</w:t>
            </w:r>
            <w:r w:rsidRPr="00BA57EA">
              <w:rPr>
                <w:rFonts w:ascii="Arial" w:hAnsi="Arial"/>
              </w:rPr>
              <w:t xml:space="preserve"> strain showed superior growth on both </w:t>
            </w:r>
            <w:r>
              <w:rPr>
                <w:rFonts w:ascii="Arial" w:hAnsi="Arial"/>
              </w:rPr>
              <w:t>diets (p&lt;</w:t>
            </w:r>
            <w:r w:rsidRPr="00BA57EA">
              <w:rPr>
                <w:rFonts w:ascii="Arial" w:hAnsi="Arial"/>
              </w:rPr>
              <w:t>0.001) when comp</w:t>
            </w:r>
            <w:r>
              <w:rPr>
                <w:rFonts w:ascii="Arial" w:hAnsi="Arial"/>
              </w:rPr>
              <w:t>ared to the commercial</w:t>
            </w:r>
            <w:r w:rsidRPr="00BA57EA">
              <w:rPr>
                <w:rFonts w:ascii="Arial" w:hAnsi="Arial"/>
              </w:rPr>
              <w:t xml:space="preserve"> strain, with no significant differences in growth within each strain</w:t>
            </w:r>
            <w:r>
              <w:rPr>
                <w:rFonts w:ascii="Arial" w:hAnsi="Arial"/>
              </w:rPr>
              <w:t xml:space="preserve"> in response to diet (p=0.158; Fig</w:t>
            </w:r>
            <w:r w:rsidRPr="00BA57EA">
              <w:rPr>
                <w:rFonts w:ascii="Arial" w:hAnsi="Arial"/>
              </w:rPr>
              <w:t>.</w:t>
            </w:r>
            <w:r>
              <w:rPr>
                <w:rFonts w:ascii="Arial" w:hAnsi="Arial"/>
              </w:rPr>
              <w:t xml:space="preserve"> 1).</w:t>
            </w:r>
            <w:r w:rsidRPr="00BA57EA">
              <w:rPr>
                <w:rFonts w:ascii="Arial" w:hAnsi="Arial"/>
              </w:rPr>
              <w:t xml:space="preserve"> Analysis of genes relat</w:t>
            </w:r>
            <w:r>
              <w:rPr>
                <w:rFonts w:ascii="Arial" w:hAnsi="Arial"/>
              </w:rPr>
              <w:t>ed</w:t>
            </w:r>
            <w:r w:rsidRPr="00BA57EA">
              <w:rPr>
                <w:rFonts w:ascii="Arial" w:hAnsi="Arial"/>
              </w:rPr>
              <w:t xml:space="preserve"> to gut health and inflammation</w:t>
            </w:r>
            <w:r>
              <w:rPr>
                <w:rFonts w:ascii="Arial" w:hAnsi="Arial"/>
              </w:rPr>
              <w:t xml:space="preserve"> </w:t>
            </w:r>
            <w:r w:rsidRPr="00BA57EA">
              <w:rPr>
                <w:rFonts w:ascii="Arial" w:hAnsi="Arial"/>
              </w:rPr>
              <w:t xml:space="preserve">show </w:t>
            </w:r>
            <w:r>
              <w:rPr>
                <w:rFonts w:ascii="Arial" w:hAnsi="Arial"/>
              </w:rPr>
              <w:t>reduced inflammation in the HGM fish. These results suggest selection for growth on a plant-based diet also drive selection for increased tolerance for dietary soybean meal inclusion.</w:t>
            </w:r>
          </w:p>
          <w:p w:rsidR="00AC7CB5" w:rsidRDefault="00AC7CB5" w:rsidP="00AC7CB5">
            <w:pPr>
              <w:jc w:val="both"/>
              <w:rPr>
                <w:rFonts w:ascii="Arial" w:hAnsi="Arial"/>
              </w:rPr>
            </w:pPr>
          </w:p>
          <w:p w:rsidR="00AC7CB5" w:rsidRDefault="00AC7CB5" w:rsidP="00AC7CB5">
            <w:pPr>
              <w:jc w:val="both"/>
              <w:rPr>
                <w:rFonts w:ascii="Arial" w:hAnsi="Arial"/>
              </w:rPr>
            </w:pPr>
          </w:p>
          <w:p w:rsidR="00AC7CB5" w:rsidRPr="008A384C" w:rsidRDefault="00AC7CB5" w:rsidP="00AC7CB5">
            <w:pPr>
              <w:rPr>
                <w:rFonts w:ascii="Arial" w:hAnsi="Arial"/>
                <w:b/>
              </w:rPr>
            </w:pPr>
            <w:r w:rsidRPr="008A384C">
              <w:rPr>
                <w:rFonts w:ascii="Arial" w:hAnsi="Arial"/>
                <w:b/>
              </w:rPr>
              <w:t>Figure 1. Percent weight gain between selected strains of rainbow trout fed a high soy diet for 12 weeks.</w:t>
            </w:r>
          </w:p>
          <w:p w:rsidR="00AC7CB5" w:rsidRPr="000E0116" w:rsidRDefault="00AC7CB5" w:rsidP="00AC7CB5">
            <w:r>
              <w:rPr>
                <w:noProof/>
              </w:rPr>
              <w:drawing>
                <wp:inline distT="0" distB="0" distL="0" distR="0" wp14:anchorId="2F9D34D2" wp14:editId="3D001A8E">
                  <wp:extent cx="3366135" cy="2694940"/>
                  <wp:effectExtent l="0" t="0" r="12065"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7CB5" w:rsidRPr="00EC6A04" w:rsidRDefault="00AC7CB5" w:rsidP="000B6AE7">
            <w:pPr>
              <w:rPr>
                <w:sz w:val="24"/>
                <w:szCs w:val="24"/>
              </w:rPr>
            </w:pPr>
          </w:p>
          <w:p w:rsidR="007823B2" w:rsidRDefault="007823B2" w:rsidP="009152CC"/>
        </w:tc>
      </w:tr>
      <w:tr w:rsidR="00F070B4" w:rsidTr="00342598">
        <w:tc>
          <w:tcPr>
            <w:tcW w:w="8838" w:type="dxa"/>
            <w:gridSpan w:val="3"/>
            <w:tcMar>
              <w:top w:w="43" w:type="dxa"/>
              <w:left w:w="0" w:type="dxa"/>
              <w:bottom w:w="43" w:type="dxa"/>
              <w:right w:w="0" w:type="dxa"/>
            </w:tcMar>
          </w:tcPr>
          <w:p w:rsidR="00F070B4" w:rsidRDefault="00F070B4" w:rsidP="00491CE6">
            <w:pPr>
              <w:pStyle w:val="Heading2"/>
              <w:numPr>
                <w:ilvl w:val="0"/>
                <w:numId w:val="0"/>
              </w:numPr>
              <w:ind w:left="576" w:hanging="576"/>
              <w:outlineLvl w:val="1"/>
            </w:pPr>
            <w:r>
              <w:lastRenderedPageBreak/>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F070B4" w:rsidTr="00342598">
        <w:tc>
          <w:tcPr>
            <w:tcW w:w="8838" w:type="dxa"/>
            <w:gridSpan w:val="3"/>
            <w:tcMar>
              <w:top w:w="43" w:type="dxa"/>
              <w:left w:w="0" w:type="dxa"/>
              <w:bottom w:w="43" w:type="dxa"/>
              <w:right w:w="0" w:type="dxa"/>
            </w:tcMar>
          </w:tcPr>
          <w:p w:rsidR="009152CC" w:rsidRDefault="0092645B" w:rsidP="009152CC">
            <w:pPr>
              <w:rPr>
                <w:sz w:val="24"/>
              </w:rPr>
            </w:pPr>
            <w:r w:rsidRPr="0092645B">
              <w:rPr>
                <w:sz w:val="24"/>
              </w:rPr>
              <w:t>Our overall goal is to increase soybean meal inclusion le</w:t>
            </w:r>
            <w:r>
              <w:rPr>
                <w:sz w:val="24"/>
              </w:rPr>
              <w:t>vels in trout feeds. We addressed the following KPIs as part of our continuing efforts to increase soybean meal utilization and evaluate the negative effects of soy caused distal enteritis. Both key performance indicators were a</w:t>
            </w:r>
            <w:r w:rsidRPr="0092645B">
              <w:rPr>
                <w:sz w:val="24"/>
              </w:rPr>
              <w:t xml:space="preserve"> continuation of our previously funded SAA work.</w:t>
            </w:r>
            <w:r w:rsidR="009152CC">
              <w:rPr>
                <w:sz w:val="24"/>
              </w:rPr>
              <w:t xml:space="preserve"> The research activities outlined above met both KPIs </w:t>
            </w:r>
          </w:p>
          <w:p w:rsidR="000B6AE7" w:rsidRDefault="000B6AE7" w:rsidP="009152CC"/>
          <w:p w:rsidR="000B6AE7" w:rsidRPr="000B6AE7" w:rsidRDefault="000B6AE7" w:rsidP="000B6AE7">
            <w:pPr>
              <w:rPr>
                <w:b/>
                <w:sz w:val="24"/>
              </w:rPr>
            </w:pPr>
            <w:r w:rsidRPr="000B6AE7">
              <w:rPr>
                <w:b/>
                <w:sz w:val="24"/>
              </w:rPr>
              <w:t>A new way to select fish for soybean tolerance:</w:t>
            </w:r>
          </w:p>
          <w:p w:rsidR="000B6AE7" w:rsidRPr="000B6AE7" w:rsidRDefault="000B6AE7" w:rsidP="000B6AE7">
            <w:pPr>
              <w:rPr>
                <w:sz w:val="24"/>
              </w:rPr>
            </w:pPr>
            <w:r w:rsidRPr="000B6AE7">
              <w:rPr>
                <w:sz w:val="24"/>
              </w:rPr>
              <w:t>To increase soybean use in aquafeeds, the mechanism(s) responsible for oral tolerance of soybeans in fish must be characterized. This project compare</w:t>
            </w:r>
            <w:r w:rsidR="00AC7CB5">
              <w:rPr>
                <w:sz w:val="24"/>
              </w:rPr>
              <w:t>d</w:t>
            </w:r>
            <w:r w:rsidRPr="000B6AE7">
              <w:rPr>
                <w:sz w:val="24"/>
              </w:rPr>
              <w:t xml:space="preserve"> a line of rainbow trout selected for soy tolerance and an unselected line with a known mechanism for oral tolerance found in numerous species.  </w:t>
            </w:r>
            <w:r w:rsidR="00AC7CB5">
              <w:rPr>
                <w:sz w:val="24"/>
              </w:rPr>
              <w:t>This</w:t>
            </w:r>
            <w:r w:rsidRPr="000B6AE7">
              <w:rPr>
                <w:sz w:val="24"/>
              </w:rPr>
              <w:t xml:space="preserve"> project </w:t>
            </w:r>
            <w:r w:rsidR="00AC7CB5">
              <w:rPr>
                <w:sz w:val="24"/>
              </w:rPr>
              <w:t>found evidence</w:t>
            </w:r>
            <w:r w:rsidRPr="000B6AE7">
              <w:rPr>
                <w:sz w:val="24"/>
              </w:rPr>
              <w:t xml:space="preserve"> that T cell regulation is</w:t>
            </w:r>
            <w:r w:rsidR="00AC7CB5">
              <w:rPr>
                <w:sz w:val="24"/>
              </w:rPr>
              <w:t xml:space="preserve"> at least partially</w:t>
            </w:r>
            <w:r w:rsidRPr="000B6AE7">
              <w:rPr>
                <w:sz w:val="24"/>
              </w:rPr>
              <w:t xml:space="preserve"> </w:t>
            </w:r>
            <w:r w:rsidR="00AC7CB5">
              <w:rPr>
                <w:sz w:val="24"/>
              </w:rPr>
              <w:t xml:space="preserve">responsible for oral tolerance and </w:t>
            </w:r>
            <w:r w:rsidRPr="000B6AE7">
              <w:rPr>
                <w:sz w:val="24"/>
              </w:rPr>
              <w:t>represent</w:t>
            </w:r>
            <w:r w:rsidR="002B7B58">
              <w:rPr>
                <w:sz w:val="24"/>
              </w:rPr>
              <w:t>s</w:t>
            </w:r>
            <w:r w:rsidRPr="000B6AE7">
              <w:rPr>
                <w:sz w:val="24"/>
              </w:rPr>
              <w:t xml:space="preserve"> a specific mechanism by which fish can be selected for increased soybean tolerance and thereby increase the use of soybeans in aquafeeds.   </w:t>
            </w:r>
            <w:r w:rsidRPr="000B6AE7">
              <w:rPr>
                <w:b/>
                <w:sz w:val="24"/>
              </w:rPr>
              <w:t>Fish breeders</w:t>
            </w:r>
            <w:r w:rsidR="00AC7CB5">
              <w:rPr>
                <w:b/>
                <w:sz w:val="24"/>
              </w:rPr>
              <w:t xml:space="preserve"> can</w:t>
            </w:r>
            <w:r w:rsidRPr="000B6AE7">
              <w:rPr>
                <w:b/>
                <w:sz w:val="24"/>
              </w:rPr>
              <w:t xml:space="preserve"> select fish with this type of T cell regulation in order to increase their tolerance to soybeans.</w:t>
            </w:r>
            <w:r w:rsidRPr="000B6AE7">
              <w:rPr>
                <w:sz w:val="24"/>
              </w:rPr>
              <w:t xml:space="preserve"> </w:t>
            </w:r>
          </w:p>
          <w:p w:rsidR="000B6AE7" w:rsidRPr="000B6AE7" w:rsidRDefault="000B6AE7" w:rsidP="000B6AE7">
            <w:pPr>
              <w:rPr>
                <w:sz w:val="24"/>
              </w:rPr>
            </w:pPr>
          </w:p>
          <w:p w:rsidR="000B6AE7" w:rsidRPr="000B6AE7" w:rsidRDefault="000B6AE7" w:rsidP="000B6AE7">
            <w:pPr>
              <w:rPr>
                <w:b/>
                <w:sz w:val="24"/>
              </w:rPr>
            </w:pPr>
            <w:r w:rsidRPr="000B6AE7">
              <w:rPr>
                <w:b/>
                <w:sz w:val="24"/>
              </w:rPr>
              <w:t>A new tool to assess soybean tolerance in fish:</w:t>
            </w:r>
          </w:p>
          <w:p w:rsidR="000B6AE7" w:rsidRPr="000B6AE7" w:rsidRDefault="00AC7CB5" w:rsidP="000B6AE7">
            <w:pPr>
              <w:rPr>
                <w:sz w:val="24"/>
              </w:rPr>
            </w:pPr>
            <w:r>
              <w:rPr>
                <w:sz w:val="24"/>
              </w:rPr>
              <w:t>This project introduced</w:t>
            </w:r>
            <w:r w:rsidR="000B6AE7" w:rsidRPr="000B6AE7">
              <w:rPr>
                <w:sz w:val="24"/>
              </w:rPr>
              <w:t xml:space="preserve"> a novel laboratory approach to examination of cell</w:t>
            </w:r>
            <w:r>
              <w:rPr>
                <w:sz w:val="24"/>
              </w:rPr>
              <w:t xml:space="preserve"> specific gene expression.  Laser-</w:t>
            </w:r>
            <w:r w:rsidR="000B6AE7" w:rsidRPr="000B6AE7">
              <w:rPr>
                <w:sz w:val="24"/>
              </w:rPr>
              <w:t xml:space="preserve">capture microdissection </w:t>
            </w:r>
            <w:r>
              <w:rPr>
                <w:sz w:val="24"/>
              </w:rPr>
              <w:t>wa</w:t>
            </w:r>
            <w:r w:rsidR="000B6AE7" w:rsidRPr="000B6AE7">
              <w:rPr>
                <w:sz w:val="24"/>
              </w:rPr>
              <w:t>s</w:t>
            </w:r>
            <w:r>
              <w:rPr>
                <w:sz w:val="24"/>
              </w:rPr>
              <w:t xml:space="preserve"> found to be unnecessary to quantify immunogenic and inflammatory gene expression in intestinal enterocytes in this project</w:t>
            </w:r>
            <w:r w:rsidR="000B6AE7" w:rsidRPr="000B6AE7">
              <w:rPr>
                <w:sz w:val="24"/>
              </w:rPr>
              <w:t xml:space="preserve">. </w:t>
            </w:r>
            <w:r w:rsidR="000B6DD8">
              <w:rPr>
                <w:sz w:val="24"/>
              </w:rPr>
              <w:t xml:space="preserve"> </w:t>
            </w:r>
            <w:r>
              <w:rPr>
                <w:sz w:val="24"/>
              </w:rPr>
              <w:t xml:space="preserve">Although the </w:t>
            </w:r>
            <w:r w:rsidR="00342598">
              <w:rPr>
                <w:sz w:val="24"/>
              </w:rPr>
              <w:t>laser-cap</w:t>
            </w:r>
            <w:r w:rsidR="000B6DD8">
              <w:rPr>
                <w:sz w:val="24"/>
              </w:rPr>
              <w:t xml:space="preserve">ture microdissection </w:t>
            </w:r>
            <w:r>
              <w:rPr>
                <w:sz w:val="24"/>
              </w:rPr>
              <w:t>process works, general isolation of total RNA from intestinal tissues w</w:t>
            </w:r>
            <w:r w:rsidR="002B7B58">
              <w:rPr>
                <w:sz w:val="24"/>
              </w:rPr>
              <w:t>as</w:t>
            </w:r>
            <w:r>
              <w:rPr>
                <w:sz w:val="24"/>
              </w:rPr>
              <w:t xml:space="preserve"> ab</w:t>
            </w:r>
            <w:r w:rsidR="002B7B58">
              <w:rPr>
                <w:sz w:val="24"/>
              </w:rPr>
              <w:t>le</w:t>
            </w:r>
            <w:r>
              <w:rPr>
                <w:sz w:val="24"/>
              </w:rPr>
              <w:t xml:space="preserve"> to quantify immunogenic an inflammatory genes without the added steps </w:t>
            </w:r>
            <w:r w:rsidR="000B6DD8">
              <w:rPr>
                <w:sz w:val="24"/>
              </w:rPr>
              <w:t>and expense of</w:t>
            </w:r>
            <w:r>
              <w:rPr>
                <w:sz w:val="24"/>
              </w:rPr>
              <w:t xml:space="preserve"> this technique. </w:t>
            </w:r>
            <w:r w:rsidRPr="00AC7CB5">
              <w:rPr>
                <w:b/>
                <w:sz w:val="24"/>
              </w:rPr>
              <w:t>Thus,</w:t>
            </w:r>
            <w:r w:rsidR="000B6AE7" w:rsidRPr="00AC7CB5">
              <w:rPr>
                <w:b/>
                <w:sz w:val="24"/>
              </w:rPr>
              <w:t xml:space="preserve"> </w:t>
            </w:r>
            <w:r w:rsidRPr="00AC7CB5">
              <w:rPr>
                <w:b/>
                <w:sz w:val="24"/>
              </w:rPr>
              <w:t>f</w:t>
            </w:r>
            <w:r w:rsidR="000B6AE7" w:rsidRPr="00AC7CB5">
              <w:rPr>
                <w:b/>
                <w:sz w:val="24"/>
              </w:rPr>
              <w:t>ish</w:t>
            </w:r>
            <w:r w:rsidR="000B6AE7" w:rsidRPr="000B6AE7">
              <w:rPr>
                <w:b/>
                <w:sz w:val="24"/>
              </w:rPr>
              <w:t xml:space="preserve"> scientists </w:t>
            </w:r>
            <w:r>
              <w:rPr>
                <w:b/>
                <w:sz w:val="24"/>
              </w:rPr>
              <w:t>can use general RNA isolation techniques to</w:t>
            </w:r>
            <w:r w:rsidR="000B6AE7" w:rsidRPr="000B6AE7">
              <w:rPr>
                <w:b/>
                <w:sz w:val="24"/>
              </w:rPr>
              <w:t xml:space="preserve"> refine gene expression data from </w:t>
            </w:r>
            <w:r w:rsidR="00D92121">
              <w:rPr>
                <w:b/>
                <w:sz w:val="24"/>
              </w:rPr>
              <w:t xml:space="preserve">the intestinal tissue of </w:t>
            </w:r>
            <w:r w:rsidR="000B6AE7" w:rsidRPr="000B6AE7">
              <w:rPr>
                <w:b/>
                <w:sz w:val="24"/>
              </w:rPr>
              <w:t>fish being evaluated for their tolerance to soybeans.</w:t>
            </w:r>
            <w:r w:rsidR="000B6AE7" w:rsidRPr="000B6AE7">
              <w:rPr>
                <w:sz w:val="24"/>
              </w:rPr>
              <w:t xml:space="preserve">  </w:t>
            </w:r>
          </w:p>
          <w:p w:rsidR="000B6DD8" w:rsidRDefault="000B6DD8" w:rsidP="00F070B4">
            <w:pPr>
              <w:rPr>
                <w:sz w:val="24"/>
              </w:rPr>
            </w:pPr>
          </w:p>
          <w:p w:rsidR="009152CC" w:rsidRDefault="000B6DD8" w:rsidP="00F070B4">
            <w:pPr>
              <w:rPr>
                <w:sz w:val="24"/>
              </w:rPr>
            </w:pPr>
            <w:r>
              <w:rPr>
                <w:sz w:val="24"/>
              </w:rPr>
              <w:t>In summary, this project identified a new way to potentially select fish for increased oral tolerance of soybean meal and showed that straightforward qPCR techniques can be used effectively to assess selection potenti</w:t>
            </w:r>
            <w:r w:rsidR="00342598">
              <w:rPr>
                <w:sz w:val="24"/>
              </w:rPr>
              <w:t>al (i.e. marker-assisted select</w:t>
            </w:r>
            <w:r>
              <w:rPr>
                <w:sz w:val="24"/>
              </w:rPr>
              <w:t>ion)</w:t>
            </w:r>
            <w:r w:rsidR="00342598">
              <w:rPr>
                <w:sz w:val="24"/>
              </w:rPr>
              <w:t>.</w:t>
            </w:r>
          </w:p>
          <w:p w:rsidR="000B6DD8" w:rsidRDefault="000B6DD8" w:rsidP="00F070B4">
            <w:pPr>
              <w:rPr>
                <w:sz w:val="24"/>
              </w:rPr>
            </w:pPr>
          </w:p>
          <w:p w:rsidR="00F070B4" w:rsidRPr="00F070B4" w:rsidRDefault="00F070B4" w:rsidP="009152CC"/>
        </w:tc>
      </w:tr>
      <w:tr w:rsidR="00D04C40" w:rsidTr="00342598">
        <w:tc>
          <w:tcPr>
            <w:tcW w:w="8838" w:type="dxa"/>
            <w:gridSpan w:val="3"/>
            <w:tcMar>
              <w:top w:w="43" w:type="dxa"/>
              <w:left w:w="0" w:type="dxa"/>
              <w:bottom w:w="43" w:type="dxa"/>
              <w:right w:w="0" w:type="dxa"/>
            </w:tcMar>
          </w:tcPr>
          <w:p w:rsidR="00D04C40" w:rsidRPr="00BD1E89" w:rsidRDefault="00F070B4" w:rsidP="00491CE6">
            <w:pPr>
              <w:pStyle w:val="Heading2"/>
              <w:numPr>
                <w:ilvl w:val="0"/>
                <w:numId w:val="0"/>
              </w:numPr>
              <w:ind w:left="576" w:hanging="576"/>
              <w:outlineLvl w:val="1"/>
              <w:rPr>
                <w:i/>
              </w:rPr>
            </w:pPr>
            <w:r>
              <w:lastRenderedPageBreak/>
              <w:t>Expected Outputs/</w:t>
            </w:r>
            <w:r w:rsidR="00406CFF">
              <w:t xml:space="preserve">Deliverables - </w:t>
            </w:r>
            <w:r w:rsidR="00D04C40" w:rsidRPr="00406CFF">
              <w:rPr>
                <w:b w:val="0"/>
              </w:rPr>
              <w:t>List each</w:t>
            </w:r>
            <w:r w:rsidR="00D04C40">
              <w:rPr>
                <w:b w:val="0"/>
              </w:rPr>
              <w:t xml:space="preserve"> deliverable</w:t>
            </w:r>
            <w:r w:rsidR="00491CE6">
              <w:rPr>
                <w:b w:val="0"/>
              </w:rPr>
              <w:t xml:space="preserve"> identified in the project, indicate</w:t>
            </w:r>
            <w:r w:rsidR="00D04C40" w:rsidRPr="00FF4F4F">
              <w:rPr>
                <w:b w:val="0"/>
              </w:rPr>
              <w:t xml:space="preserve"> whether or not it was </w:t>
            </w:r>
            <w:r w:rsidR="00D04C40">
              <w:rPr>
                <w:b w:val="0"/>
              </w:rPr>
              <w:t>supplied and if not supplied, please provide an explanation as to why</w:t>
            </w:r>
            <w:r w:rsidR="00D04C40" w:rsidRPr="00FF4F4F">
              <w:rPr>
                <w:b w:val="0"/>
              </w:rPr>
              <w:t>.</w:t>
            </w:r>
          </w:p>
        </w:tc>
      </w:tr>
      <w:tr w:rsidR="00D04C40" w:rsidTr="006B7324">
        <w:trPr>
          <w:trHeight w:val="658"/>
        </w:trPr>
        <w:tc>
          <w:tcPr>
            <w:tcW w:w="8838" w:type="dxa"/>
            <w:gridSpan w:val="3"/>
          </w:tcPr>
          <w:p w:rsidR="005B7920" w:rsidRDefault="00305C14" w:rsidP="00491CE6">
            <w:pPr>
              <w:rPr>
                <w:sz w:val="24"/>
              </w:rPr>
            </w:pPr>
            <w:r w:rsidRPr="00305C14">
              <w:rPr>
                <w:sz w:val="24"/>
              </w:rPr>
              <w:t xml:space="preserve">The impacts of soybean meal </w:t>
            </w:r>
            <w:r w:rsidR="005B7920">
              <w:rPr>
                <w:sz w:val="24"/>
              </w:rPr>
              <w:t xml:space="preserve">(SBM) </w:t>
            </w:r>
            <w:r w:rsidRPr="00305C14">
              <w:rPr>
                <w:sz w:val="24"/>
              </w:rPr>
              <w:t xml:space="preserve">on fish performance are quite variable.  </w:t>
            </w:r>
            <w:r w:rsidR="002B7B58">
              <w:rPr>
                <w:sz w:val="24"/>
              </w:rPr>
              <w:t xml:space="preserve">In rainbow trout, the first adverse effects of soybean intolerance manifests in higher food conversion ratios.  In figure 1, significantly higher FCRs were observed in the </w:t>
            </w:r>
            <w:r w:rsidR="005B7920">
              <w:rPr>
                <w:sz w:val="24"/>
              </w:rPr>
              <w:t xml:space="preserve">non-selected fish on the 40% SBM diet </w:t>
            </w:r>
            <w:r w:rsidR="006B7324">
              <w:rPr>
                <w:sz w:val="24"/>
              </w:rPr>
              <w:t xml:space="preserve">after 12 weeks </w:t>
            </w:r>
            <w:r w:rsidR="005B7920">
              <w:rPr>
                <w:sz w:val="24"/>
              </w:rPr>
              <w:t>indicating clinically identifiable enteritis which is confirmed through histology.</w:t>
            </w:r>
            <w:r w:rsidR="00342598">
              <w:rPr>
                <w:sz w:val="24"/>
              </w:rPr>
              <w:t xml:space="preserve"> </w:t>
            </w:r>
            <w:r w:rsidR="005B7920">
              <w:rPr>
                <w:sz w:val="24"/>
              </w:rPr>
              <w:t>Moreover, overall fish growth was higher in the selected strain of fish compared to the non-selected strain (see the abstract above</w:t>
            </w:r>
            <w:r w:rsidR="00CD2886">
              <w:rPr>
                <w:sz w:val="24"/>
              </w:rPr>
              <w:t xml:space="preserve"> and Figure 2</w:t>
            </w:r>
            <w:r w:rsidR="005B7920">
              <w:rPr>
                <w:sz w:val="24"/>
              </w:rPr>
              <w:t xml:space="preserve">). </w:t>
            </w:r>
            <w:r w:rsidR="00D92121">
              <w:rPr>
                <w:sz w:val="24"/>
              </w:rPr>
              <w:t xml:space="preserve">The project succeeded in producing a clinical effect (SBM caused distal enteritis) in a non-selected line of trout in order to compare gene expression for oral tolerance between it and a rainbow trout strain selected to utilize a </w:t>
            </w:r>
            <w:r w:rsidR="00A86497">
              <w:rPr>
                <w:sz w:val="24"/>
              </w:rPr>
              <w:t xml:space="preserve">soybean-based plant </w:t>
            </w:r>
            <w:r w:rsidR="00D92121">
              <w:rPr>
                <w:sz w:val="24"/>
              </w:rPr>
              <w:t xml:space="preserve"> diet. </w:t>
            </w:r>
            <w:r w:rsidR="005B7920">
              <w:rPr>
                <w:sz w:val="24"/>
              </w:rPr>
              <w:t xml:space="preserve"> </w:t>
            </w:r>
          </w:p>
          <w:p w:rsidR="005B7920" w:rsidRDefault="005B7920" w:rsidP="00491CE6">
            <w:pPr>
              <w:rPr>
                <w:sz w:val="24"/>
              </w:rPr>
            </w:pPr>
          </w:p>
          <w:p w:rsidR="005B7920" w:rsidRPr="00342598" w:rsidRDefault="005B7920" w:rsidP="00491CE6">
            <w:pPr>
              <w:rPr>
                <w:sz w:val="24"/>
              </w:rPr>
            </w:pPr>
            <w:r w:rsidRPr="005B7920">
              <w:rPr>
                <w:b/>
                <w:sz w:val="24"/>
              </w:rPr>
              <w:t>Figure 1. Feed conversion ratios for selected (HGM) and non-selected (</w:t>
            </w:r>
            <w:r w:rsidR="00342598">
              <w:rPr>
                <w:b/>
                <w:sz w:val="24"/>
              </w:rPr>
              <w:t>CSS</w:t>
            </w:r>
            <w:r w:rsidRPr="005B7920">
              <w:rPr>
                <w:b/>
                <w:sz w:val="24"/>
              </w:rPr>
              <w:t>) fish fed a 0% or 40% SBM diet</w:t>
            </w:r>
            <w:r w:rsidR="00CD2886">
              <w:rPr>
                <w:b/>
                <w:sz w:val="24"/>
              </w:rPr>
              <w:t xml:space="preserve"> for 12 weeks</w:t>
            </w:r>
            <w:r w:rsidRPr="005B7920">
              <w:rPr>
                <w:b/>
                <w:sz w:val="24"/>
              </w:rPr>
              <w:t>.</w:t>
            </w:r>
          </w:p>
          <w:p w:rsidR="007A725F" w:rsidRDefault="005B7920" w:rsidP="00491CE6">
            <w:pPr>
              <w:rPr>
                <w:sz w:val="24"/>
              </w:rPr>
            </w:pPr>
            <w:r>
              <w:rPr>
                <w:sz w:val="24"/>
              </w:rPr>
              <w:t xml:space="preserve">  </w:t>
            </w:r>
            <w:r w:rsidR="002B7B58">
              <w:rPr>
                <w:sz w:val="24"/>
              </w:rPr>
              <w:t xml:space="preserve">   </w:t>
            </w:r>
          </w:p>
          <w:p w:rsidR="007A725F" w:rsidRDefault="007A725F" w:rsidP="00491CE6">
            <w:pPr>
              <w:rPr>
                <w:sz w:val="24"/>
              </w:rPr>
            </w:pPr>
          </w:p>
          <w:p w:rsidR="00342598" w:rsidRDefault="00342598" w:rsidP="00491CE6">
            <w:pPr>
              <w:rPr>
                <w:sz w:val="24"/>
              </w:rPr>
            </w:pPr>
          </w:p>
          <w:p w:rsidR="00D92121" w:rsidRDefault="00D92121" w:rsidP="00CD2886">
            <w:pPr>
              <w:rPr>
                <w:sz w:val="24"/>
              </w:rPr>
            </w:pPr>
          </w:p>
          <w:p w:rsidR="00CD2886" w:rsidRPr="00342598" w:rsidRDefault="00CD2886" w:rsidP="00CD2886">
            <w:pPr>
              <w:rPr>
                <w:sz w:val="24"/>
              </w:rPr>
            </w:pPr>
            <w:r w:rsidRPr="005B7920">
              <w:rPr>
                <w:b/>
                <w:sz w:val="24"/>
              </w:rPr>
              <w:t xml:space="preserve">Figure </w:t>
            </w:r>
            <w:r>
              <w:rPr>
                <w:b/>
                <w:sz w:val="24"/>
              </w:rPr>
              <w:t>2</w:t>
            </w:r>
            <w:r w:rsidRPr="005B7920">
              <w:rPr>
                <w:b/>
                <w:sz w:val="24"/>
              </w:rPr>
              <w:t xml:space="preserve">. </w:t>
            </w:r>
            <w:r>
              <w:rPr>
                <w:b/>
                <w:sz w:val="24"/>
              </w:rPr>
              <w:t>Mean fish growth for</w:t>
            </w:r>
            <w:r w:rsidRPr="005B7920">
              <w:rPr>
                <w:b/>
                <w:sz w:val="24"/>
              </w:rPr>
              <w:t xml:space="preserve"> selected (HGM) and non-selected (</w:t>
            </w:r>
            <w:r>
              <w:rPr>
                <w:b/>
                <w:sz w:val="24"/>
              </w:rPr>
              <w:t>CSS</w:t>
            </w:r>
            <w:r w:rsidRPr="005B7920">
              <w:rPr>
                <w:b/>
                <w:sz w:val="24"/>
              </w:rPr>
              <w:t>) fish fed a 0% or 40% SBM diet</w:t>
            </w:r>
            <w:r>
              <w:rPr>
                <w:b/>
                <w:sz w:val="24"/>
              </w:rPr>
              <w:t xml:space="preserve"> for 12 weeks</w:t>
            </w:r>
            <w:r w:rsidRPr="005B7920">
              <w:rPr>
                <w:b/>
                <w:sz w:val="24"/>
              </w:rPr>
              <w:t>.</w:t>
            </w:r>
          </w:p>
          <w:p w:rsidR="00CD2886" w:rsidRDefault="00CD2886" w:rsidP="00491CE6">
            <w:pPr>
              <w:rPr>
                <w:sz w:val="24"/>
              </w:rPr>
            </w:pPr>
          </w:p>
          <w:p w:rsidR="00CD2886" w:rsidRDefault="00CD2886" w:rsidP="00491CE6">
            <w:pPr>
              <w:rPr>
                <w:sz w:val="24"/>
              </w:rPr>
            </w:pPr>
          </w:p>
          <w:p w:rsidR="00CD2886" w:rsidRDefault="00CD2886" w:rsidP="00491CE6">
            <w:pPr>
              <w:rPr>
                <w:sz w:val="24"/>
              </w:rPr>
            </w:pPr>
          </w:p>
          <w:p w:rsidR="00CD2886" w:rsidRDefault="00CD2886" w:rsidP="00491CE6">
            <w:pPr>
              <w:rPr>
                <w:sz w:val="24"/>
              </w:rPr>
            </w:pPr>
          </w:p>
          <w:p w:rsidR="00CD2886" w:rsidRDefault="00CD2886" w:rsidP="00491CE6">
            <w:pPr>
              <w:rPr>
                <w:sz w:val="24"/>
              </w:rPr>
            </w:pPr>
          </w:p>
          <w:p w:rsidR="00CD2886" w:rsidRDefault="00CD2886" w:rsidP="00491CE6">
            <w:pPr>
              <w:rPr>
                <w:sz w:val="24"/>
              </w:rPr>
            </w:pPr>
          </w:p>
          <w:p w:rsidR="00CD2886" w:rsidRDefault="00D92121" w:rsidP="00491CE6">
            <w:pPr>
              <w:rPr>
                <w:sz w:val="24"/>
              </w:rPr>
            </w:pPr>
            <w:r>
              <w:rPr>
                <w:noProof/>
              </w:rPr>
              <w:drawing>
                <wp:anchor distT="0" distB="0" distL="114300" distR="114300" simplePos="0" relativeHeight="251659264" behindDoc="1" locked="0" layoutInCell="1" allowOverlap="1" wp14:anchorId="6A2306B9" wp14:editId="5CC5DF51">
                  <wp:simplePos x="0" y="0"/>
                  <wp:positionH relativeFrom="column">
                    <wp:posOffset>0</wp:posOffset>
                  </wp:positionH>
                  <wp:positionV relativeFrom="paragraph">
                    <wp:posOffset>-1020445</wp:posOffset>
                  </wp:positionV>
                  <wp:extent cx="3038475" cy="2590800"/>
                  <wp:effectExtent l="0" t="0" r="9525" b="19050"/>
                  <wp:wrapTight wrapText="bothSides">
                    <wp:wrapPolygon edited="0">
                      <wp:start x="0" y="0"/>
                      <wp:lineTo x="0" y="21600"/>
                      <wp:lineTo x="21532" y="21600"/>
                      <wp:lineTo x="21532"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CD2886" w:rsidRDefault="00CD2886" w:rsidP="00491CE6">
            <w:pPr>
              <w:rPr>
                <w:sz w:val="24"/>
              </w:rPr>
            </w:pPr>
          </w:p>
          <w:p w:rsidR="00CD2886" w:rsidRDefault="00CD2886" w:rsidP="00491CE6">
            <w:pPr>
              <w:rPr>
                <w:sz w:val="24"/>
              </w:rPr>
            </w:pPr>
          </w:p>
          <w:p w:rsidR="00383DFE" w:rsidRDefault="00D92121" w:rsidP="00491CE6">
            <w:pPr>
              <w:rPr>
                <w:b/>
                <w:sz w:val="24"/>
              </w:rPr>
            </w:pPr>
            <w:r>
              <w:rPr>
                <w:noProof/>
              </w:rPr>
              <w:drawing>
                <wp:anchor distT="0" distB="0" distL="114300" distR="114300" simplePos="0" relativeHeight="251658240" behindDoc="0" locked="0" layoutInCell="1" allowOverlap="1" wp14:anchorId="00CA5608" wp14:editId="6D5332B1">
                  <wp:simplePos x="1143000" y="3162300"/>
                  <wp:positionH relativeFrom="margin">
                    <wp:align>left</wp:align>
                  </wp:positionH>
                  <wp:positionV relativeFrom="margin">
                    <wp:posOffset>1891030</wp:posOffset>
                  </wp:positionV>
                  <wp:extent cx="3038475" cy="2409825"/>
                  <wp:effectExtent l="0" t="0" r="9525" b="952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7A725F" w:rsidRPr="006B7324" w:rsidRDefault="007A725F" w:rsidP="00491CE6">
            <w:pPr>
              <w:rPr>
                <w:b/>
                <w:sz w:val="24"/>
              </w:rPr>
            </w:pPr>
            <w:r w:rsidRPr="006B7324">
              <w:rPr>
                <w:b/>
                <w:sz w:val="24"/>
              </w:rPr>
              <w:lastRenderedPageBreak/>
              <w:t>Output</w:t>
            </w:r>
            <w:r w:rsidR="006B7324" w:rsidRPr="006B7324">
              <w:rPr>
                <w:b/>
                <w:sz w:val="24"/>
              </w:rPr>
              <w:t xml:space="preserve"> 1</w:t>
            </w:r>
            <w:r w:rsidRPr="006B7324">
              <w:rPr>
                <w:b/>
                <w:sz w:val="24"/>
              </w:rPr>
              <w:t xml:space="preserve">: </w:t>
            </w:r>
          </w:p>
          <w:p w:rsidR="00443348" w:rsidRDefault="00342598" w:rsidP="00491CE6">
            <w:pPr>
              <w:rPr>
                <w:sz w:val="24"/>
              </w:rPr>
            </w:pPr>
            <w:r>
              <w:rPr>
                <w:sz w:val="24"/>
              </w:rPr>
              <w:t xml:space="preserve">This project identified a new way to potentially select fish for increased oral tolerance of </w:t>
            </w:r>
            <w:r w:rsidR="00CD2886">
              <w:rPr>
                <w:sz w:val="24"/>
              </w:rPr>
              <w:t>SBM</w:t>
            </w:r>
            <w:r>
              <w:rPr>
                <w:sz w:val="24"/>
              </w:rPr>
              <w:t xml:space="preserve"> by selecting for </w:t>
            </w:r>
            <w:r w:rsidR="00CD2886">
              <w:rPr>
                <w:sz w:val="24"/>
              </w:rPr>
              <w:t xml:space="preserve">lower </w:t>
            </w:r>
            <w:r>
              <w:rPr>
                <w:sz w:val="24"/>
              </w:rPr>
              <w:t xml:space="preserve">expression of interleukin genes associated with T17 cell regulation and increased oral tolerance. Figure </w:t>
            </w:r>
            <w:r w:rsidR="00CD2886">
              <w:rPr>
                <w:sz w:val="24"/>
              </w:rPr>
              <w:t>3</w:t>
            </w:r>
            <w:r>
              <w:rPr>
                <w:sz w:val="24"/>
              </w:rPr>
              <w:t xml:space="preserve"> shows </w:t>
            </w:r>
            <w:r w:rsidR="00CD2886">
              <w:rPr>
                <w:sz w:val="24"/>
              </w:rPr>
              <w:t>significant differences in the expression of one of the isoforms of Interleukin-17. This gene was upregulated in the non-selected fish strain (CSS) suggesting increased sensitivity to SBM. Thus</w:t>
            </w:r>
            <w:r w:rsidR="006B7324">
              <w:rPr>
                <w:sz w:val="24"/>
              </w:rPr>
              <w:t xml:space="preserve"> for example</w:t>
            </w:r>
            <w:r w:rsidR="00CD2886">
              <w:rPr>
                <w:sz w:val="24"/>
              </w:rPr>
              <w:t xml:space="preserve">, fish that exhibit lower expression of this IL-17 isoform may be more tolerant to SBM as evidenced in the selected strain (HGM).  </w:t>
            </w:r>
            <w:r w:rsidR="006B7324">
              <w:rPr>
                <w:sz w:val="24"/>
              </w:rPr>
              <w:t>The data also suggest fish that are selected to utilize a plant-based diet may also result in selection for increased oral tolerance of SBM.</w:t>
            </w:r>
          </w:p>
          <w:p w:rsidR="00383DFE" w:rsidRPr="00383DFE" w:rsidRDefault="006B7324" w:rsidP="00491CE6">
            <w:pPr>
              <w:rPr>
                <w:b/>
                <w:sz w:val="24"/>
              </w:rPr>
            </w:pPr>
            <w:r w:rsidRPr="00383DFE">
              <w:rPr>
                <w:b/>
                <w:noProof/>
              </w:rPr>
              <w:drawing>
                <wp:anchor distT="0" distB="0" distL="114300" distR="114300" simplePos="0" relativeHeight="251660288" behindDoc="1" locked="0" layoutInCell="1" allowOverlap="1" wp14:anchorId="0CE39878" wp14:editId="125CFC34">
                  <wp:simplePos x="0" y="0"/>
                  <wp:positionH relativeFrom="column">
                    <wp:posOffset>0</wp:posOffset>
                  </wp:positionH>
                  <wp:positionV relativeFrom="paragraph">
                    <wp:posOffset>0</wp:posOffset>
                  </wp:positionV>
                  <wp:extent cx="3333750" cy="2276475"/>
                  <wp:effectExtent l="0" t="0" r="19050" b="9525"/>
                  <wp:wrapTight wrapText="bothSides">
                    <wp:wrapPolygon edited="0">
                      <wp:start x="0" y="0"/>
                      <wp:lineTo x="0" y="21510"/>
                      <wp:lineTo x="21600" y="21510"/>
                      <wp:lineTo x="21600"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383DFE" w:rsidRPr="00383DFE">
              <w:rPr>
                <w:b/>
                <w:sz w:val="24"/>
              </w:rPr>
              <w:t>Figure 3. Relative expression</w:t>
            </w:r>
            <w:r w:rsidR="00383DFE">
              <w:rPr>
                <w:b/>
                <w:sz w:val="24"/>
              </w:rPr>
              <w:t xml:space="preserve"> (fold change) in Interleukin-</w:t>
            </w:r>
            <w:r w:rsidR="00383DFE" w:rsidRPr="00383DFE">
              <w:rPr>
                <w:b/>
                <w:sz w:val="24"/>
              </w:rPr>
              <w:t>17 alphaF2b in non-selected (CSS) and selected (HGM) lines of rainbow trout fed diets with either 0% or 40% SBM over 12 weeks.</w:t>
            </w:r>
          </w:p>
          <w:p w:rsidR="00383DFE" w:rsidRDefault="00383DFE" w:rsidP="00491CE6">
            <w:pPr>
              <w:rPr>
                <w:sz w:val="24"/>
              </w:rPr>
            </w:pPr>
          </w:p>
          <w:p w:rsidR="00383DFE" w:rsidRDefault="00383DFE" w:rsidP="00491CE6">
            <w:pPr>
              <w:rPr>
                <w:sz w:val="24"/>
              </w:rPr>
            </w:pPr>
          </w:p>
          <w:p w:rsidR="00383DFE" w:rsidRDefault="00383DFE" w:rsidP="00491CE6">
            <w:pPr>
              <w:rPr>
                <w:sz w:val="24"/>
              </w:rPr>
            </w:pPr>
          </w:p>
          <w:p w:rsidR="00383DFE" w:rsidRDefault="00383DFE" w:rsidP="00491CE6">
            <w:pPr>
              <w:rPr>
                <w:sz w:val="24"/>
              </w:rPr>
            </w:pPr>
          </w:p>
          <w:p w:rsidR="00443348" w:rsidRPr="00383DFE" w:rsidRDefault="00443348" w:rsidP="00491CE6">
            <w:pPr>
              <w:rPr>
                <w:sz w:val="24"/>
              </w:rPr>
            </w:pPr>
            <w:r w:rsidRPr="006B7324">
              <w:rPr>
                <w:b/>
                <w:sz w:val="24"/>
              </w:rPr>
              <w:t>Output</w:t>
            </w:r>
            <w:r w:rsidR="006B7324" w:rsidRPr="006B7324">
              <w:rPr>
                <w:b/>
                <w:sz w:val="24"/>
              </w:rPr>
              <w:t xml:space="preserve"> 2</w:t>
            </w:r>
            <w:r w:rsidRPr="006B7324">
              <w:rPr>
                <w:b/>
                <w:sz w:val="24"/>
              </w:rPr>
              <w:t>:</w:t>
            </w:r>
          </w:p>
          <w:p w:rsidR="00443348" w:rsidRDefault="00443348" w:rsidP="00491CE6">
            <w:pPr>
              <w:rPr>
                <w:sz w:val="24"/>
              </w:rPr>
            </w:pPr>
            <w:r>
              <w:rPr>
                <w:sz w:val="24"/>
              </w:rPr>
              <w:t xml:space="preserve">In this study, we </w:t>
            </w:r>
            <w:r w:rsidR="00CD2886">
              <w:rPr>
                <w:sz w:val="24"/>
              </w:rPr>
              <w:t xml:space="preserve">compared expression among various isolation techniques for cells and RNA including laser-capture microdissection. We found that simple tissue extraction of total RNA from intestinal enterocytes was sufficient to observe differences in gene expression among the milieu of cell types within the </w:t>
            </w:r>
            <w:r w:rsidR="00ED48D7">
              <w:rPr>
                <w:sz w:val="24"/>
              </w:rPr>
              <w:t>intestinal tissue samples.</w:t>
            </w:r>
            <w:r w:rsidR="006B7324">
              <w:rPr>
                <w:sz w:val="24"/>
              </w:rPr>
              <w:t xml:space="preserve"> The added expense and time associated with the microscopic technique was unnecessary.</w:t>
            </w:r>
            <w:r w:rsidR="00CD2886">
              <w:rPr>
                <w:sz w:val="24"/>
              </w:rPr>
              <w:t xml:space="preserve">   </w:t>
            </w:r>
            <w:r>
              <w:rPr>
                <w:sz w:val="24"/>
              </w:rPr>
              <w:t xml:space="preserve"> </w:t>
            </w:r>
          </w:p>
          <w:p w:rsidR="00443348" w:rsidRDefault="00443348" w:rsidP="00491CE6">
            <w:pPr>
              <w:rPr>
                <w:sz w:val="24"/>
              </w:rPr>
            </w:pPr>
          </w:p>
          <w:p w:rsidR="00D04C40" w:rsidRPr="00305C14" w:rsidRDefault="00443348" w:rsidP="00491CE6">
            <w:pPr>
              <w:rPr>
                <w:sz w:val="24"/>
                <w:szCs w:val="24"/>
              </w:rPr>
            </w:pPr>
            <w:r>
              <w:rPr>
                <w:sz w:val="24"/>
                <w:szCs w:val="24"/>
              </w:rPr>
              <w:t>Both outputs</w:t>
            </w:r>
            <w:r w:rsidR="006B7324">
              <w:rPr>
                <w:sz w:val="24"/>
                <w:szCs w:val="24"/>
              </w:rPr>
              <w:t xml:space="preserve"> 1 and 2</w:t>
            </w:r>
            <w:r w:rsidR="00305C14" w:rsidRPr="00305C14">
              <w:rPr>
                <w:sz w:val="24"/>
                <w:szCs w:val="24"/>
              </w:rPr>
              <w:t xml:space="preserve"> directly address the SAA Program Area Priority of “Enabling Technologies to Advance Domestic Aquaculture”.</w:t>
            </w:r>
          </w:p>
          <w:p w:rsidR="00D04C40" w:rsidRDefault="00D04C40" w:rsidP="00491CE6">
            <w:pPr>
              <w:rPr>
                <w:b/>
              </w:rPr>
            </w:pPr>
          </w:p>
        </w:tc>
      </w:tr>
      <w:tr w:rsidR="00EA0768" w:rsidTr="00342598">
        <w:tblPrEx>
          <w:jc w:val="center"/>
          <w:tblInd w:w="0" w:type="dxa"/>
        </w:tblPrEx>
        <w:trPr>
          <w:gridAfter w:val="1"/>
          <w:wAfter w:w="83" w:type="dxa"/>
          <w:jc w:val="center"/>
        </w:trPr>
        <w:tc>
          <w:tcPr>
            <w:tcW w:w="8755" w:type="dxa"/>
            <w:gridSpan w:val="2"/>
          </w:tcPr>
          <w:p w:rsidR="00D42DA7" w:rsidRPr="00D42DA7" w:rsidRDefault="00F070B4" w:rsidP="007249F5">
            <w:pPr>
              <w:pStyle w:val="Heading2"/>
              <w:numPr>
                <w:ilvl w:val="0"/>
                <w:numId w:val="0"/>
              </w:numPr>
              <w:ind w:left="576" w:hanging="576"/>
              <w:outlineLvl w:val="1"/>
            </w:pPr>
            <w:r w:rsidRPr="00406CFF">
              <w:lastRenderedPageBreak/>
              <w:t>Describe any unforeseen events or circumstances that may have affected project timeline, costs, or deliverables</w:t>
            </w:r>
            <w:r w:rsidRPr="00F070B4">
              <w:t xml:space="preserve"> </w:t>
            </w:r>
            <w:r w:rsidR="00D56134">
              <w:t>(</w:t>
            </w:r>
            <w:r w:rsidRPr="00F070B4">
              <w:t>if applicable</w:t>
            </w:r>
            <w:r w:rsidRPr="00406CFF">
              <w:t>.</w:t>
            </w:r>
            <w:r w:rsidR="00D56134">
              <w:t>)</w:t>
            </w:r>
          </w:p>
        </w:tc>
      </w:tr>
      <w:tr w:rsidR="00FF4F4F" w:rsidTr="00342598">
        <w:tblPrEx>
          <w:jc w:val="center"/>
          <w:tblInd w:w="0" w:type="dxa"/>
        </w:tblPrEx>
        <w:trPr>
          <w:gridAfter w:val="1"/>
          <w:wAfter w:w="83" w:type="dxa"/>
          <w:trHeight w:val="1421"/>
          <w:jc w:val="center"/>
        </w:trPr>
        <w:tc>
          <w:tcPr>
            <w:tcW w:w="8755" w:type="dxa"/>
            <w:gridSpan w:val="2"/>
          </w:tcPr>
          <w:p w:rsidR="00FF4F4F" w:rsidRPr="00305C14" w:rsidRDefault="00305C14" w:rsidP="000B6AE7">
            <w:pPr>
              <w:rPr>
                <w:sz w:val="24"/>
              </w:rPr>
            </w:pPr>
            <w:r>
              <w:rPr>
                <w:sz w:val="24"/>
              </w:rPr>
              <w:t xml:space="preserve">The original contract period for the project was </w:t>
            </w:r>
            <w:r w:rsidR="000B6AE7">
              <w:rPr>
                <w:sz w:val="24"/>
              </w:rPr>
              <w:t>October 1, 2016 through September 30, 2017</w:t>
            </w:r>
            <w:r>
              <w:rPr>
                <w:sz w:val="24"/>
              </w:rPr>
              <w:t xml:space="preserve">. The project started on time with the fish feeding trial at the USFWS Bozeman Fish Technology Center.  </w:t>
            </w:r>
            <w:r w:rsidR="000B6AE7">
              <w:rPr>
                <w:sz w:val="24"/>
              </w:rPr>
              <w:t>D</w:t>
            </w:r>
            <w:r w:rsidR="00525E8F">
              <w:rPr>
                <w:sz w:val="24"/>
              </w:rPr>
              <w:t>eliverables were met.</w:t>
            </w:r>
            <w:r>
              <w:rPr>
                <w:sz w:val="24"/>
              </w:rPr>
              <w:t xml:space="preserve">   </w:t>
            </w:r>
          </w:p>
        </w:tc>
      </w:tr>
      <w:tr w:rsidR="00FF4F4F" w:rsidTr="00406CFF">
        <w:trPr>
          <w:trHeight w:val="442"/>
        </w:trPr>
        <w:tc>
          <w:tcPr>
            <w:tcW w:w="8838" w:type="dxa"/>
            <w:gridSpan w:val="3"/>
            <w:tcMar>
              <w:top w:w="43" w:type="dxa"/>
              <w:left w:w="0" w:type="dxa"/>
              <w:bottom w:w="43" w:type="dxa"/>
              <w:right w:w="0" w:type="dxa"/>
            </w:tcMar>
          </w:tcPr>
          <w:p w:rsidR="00FF4F4F" w:rsidRPr="00FF4F4F" w:rsidRDefault="00406CFF" w:rsidP="00083E61">
            <w:pPr>
              <w:pStyle w:val="Heading2"/>
              <w:numPr>
                <w:ilvl w:val="0"/>
                <w:numId w:val="0"/>
              </w:numPr>
              <w:ind w:left="576" w:hanging="576"/>
              <w:outlineLvl w:val="1"/>
            </w:pPr>
            <w:r>
              <w:t>W</w:t>
            </w:r>
            <w:r w:rsidRPr="00BD1E89">
              <w:t xml:space="preserve">hat, </w:t>
            </w:r>
            <w:r w:rsidR="00D56134">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9F6283" w:rsidTr="00406CFF">
        <w:trPr>
          <w:trHeight w:val="946"/>
        </w:trPr>
        <w:tc>
          <w:tcPr>
            <w:tcW w:w="8838" w:type="dxa"/>
            <w:gridSpan w:val="3"/>
            <w:tcMar>
              <w:top w:w="43" w:type="dxa"/>
              <w:left w:w="0" w:type="dxa"/>
              <w:bottom w:w="43" w:type="dxa"/>
              <w:right w:w="0" w:type="dxa"/>
            </w:tcMar>
          </w:tcPr>
          <w:p w:rsidR="00AB4B27" w:rsidRPr="00083E61" w:rsidRDefault="006B7324" w:rsidP="006B7324">
            <w:pPr>
              <w:pStyle w:val="Heading2"/>
              <w:numPr>
                <w:ilvl w:val="0"/>
                <w:numId w:val="0"/>
              </w:numPr>
              <w:ind w:left="576" w:hanging="576"/>
              <w:outlineLvl w:val="1"/>
              <w:rPr>
                <w:b w:val="0"/>
              </w:rPr>
            </w:pPr>
            <w:r>
              <w:rPr>
                <w:b w:val="0"/>
                <w:sz w:val="24"/>
              </w:rPr>
              <w:t xml:space="preserve">Follow-up evaluations of Il-17alphaF2b for use in marker-assisted selection of SBM tolerance should be examined in additional species such as Atlantic salmon and others that are susceptible to distal enteritis. </w:t>
            </w:r>
            <w:r w:rsidR="007E5D1B" w:rsidRPr="007E5D1B">
              <w:rPr>
                <w:b w:val="0"/>
                <w:sz w:val="24"/>
              </w:rPr>
              <w:t xml:space="preserve">    </w:t>
            </w:r>
          </w:p>
        </w:tc>
      </w:tr>
      <w:tr w:rsidR="00406CFF" w:rsidTr="00406CFF">
        <w:trPr>
          <w:trHeight w:val="235"/>
        </w:trPr>
        <w:tc>
          <w:tcPr>
            <w:tcW w:w="8838" w:type="dxa"/>
            <w:gridSpan w:val="3"/>
            <w:tcMar>
              <w:top w:w="43" w:type="dxa"/>
              <w:left w:w="0" w:type="dxa"/>
              <w:bottom w:w="43" w:type="dxa"/>
              <w:right w:w="0" w:type="dxa"/>
            </w:tcMar>
          </w:tcPr>
          <w:p w:rsidR="00406CFF" w:rsidRDefault="00406CFF" w:rsidP="00406CFF">
            <w:pPr>
              <w:rPr>
                <w:b/>
              </w:rPr>
            </w:pPr>
            <w:r w:rsidRPr="00406CFF">
              <w:rPr>
                <w:rFonts w:cs="Times New Roman"/>
                <w:b/>
                <w:iCs/>
                <w:color w:val="000000" w:themeColor="text1"/>
                <w:kern w:val="0"/>
                <w:sz w:val="20"/>
                <w:szCs w:val="28"/>
              </w:rPr>
              <w:t>List any relevant performance metrics not captured in KPI’s.</w:t>
            </w:r>
          </w:p>
        </w:tc>
      </w:tr>
      <w:tr w:rsidR="00406CFF" w:rsidTr="00406CFF">
        <w:trPr>
          <w:trHeight w:val="658"/>
        </w:trPr>
        <w:tc>
          <w:tcPr>
            <w:tcW w:w="8838" w:type="dxa"/>
            <w:gridSpan w:val="3"/>
            <w:tcMar>
              <w:top w:w="43" w:type="dxa"/>
              <w:left w:w="0" w:type="dxa"/>
              <w:bottom w:w="43" w:type="dxa"/>
              <w:right w:w="0" w:type="dxa"/>
            </w:tcMar>
          </w:tcPr>
          <w:p w:rsidR="00406CFF" w:rsidRPr="00704574" w:rsidRDefault="00406CFF" w:rsidP="00FF4F4F"/>
        </w:tc>
      </w:tr>
    </w:tbl>
    <w:p w:rsidR="0025429E" w:rsidRDefault="0025429E" w:rsidP="008041BE"/>
    <w:sectPr w:rsidR="0025429E" w:rsidSect="00E814B8">
      <w:headerReference w:type="first" r:id="rId12"/>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FE7" w:rsidRDefault="00573FE7" w:rsidP="00BD1E89">
      <w:pPr>
        <w:spacing w:line="240" w:lineRule="auto"/>
      </w:pPr>
      <w:r>
        <w:separator/>
      </w:r>
    </w:p>
  </w:endnote>
  <w:endnote w:type="continuationSeparator" w:id="0">
    <w:p w:rsidR="00573FE7" w:rsidRDefault="00573FE7"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FE7" w:rsidRDefault="00573FE7" w:rsidP="00BD1E89">
      <w:pPr>
        <w:spacing w:line="240" w:lineRule="auto"/>
      </w:pPr>
      <w:r>
        <w:separator/>
      </w:r>
    </w:p>
  </w:footnote>
  <w:footnote w:type="continuationSeparator" w:id="0">
    <w:p w:rsidR="00573FE7" w:rsidRDefault="00573FE7" w:rsidP="00BD1E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332DBF"/>
    <w:multiLevelType w:val="hybridMultilevel"/>
    <w:tmpl w:val="43E4D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5"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04EC7"/>
    <w:multiLevelType w:val="hybridMultilevel"/>
    <w:tmpl w:val="E51C0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4"/>
  </w:num>
  <w:num w:numId="4">
    <w:abstractNumId w:val="5"/>
  </w:num>
  <w:num w:numId="5">
    <w:abstractNumId w:val="24"/>
  </w:num>
  <w:num w:numId="6">
    <w:abstractNumId w:val="14"/>
  </w:num>
  <w:num w:numId="7">
    <w:abstractNumId w:val="8"/>
  </w:num>
  <w:num w:numId="8">
    <w:abstractNumId w:val="27"/>
  </w:num>
  <w:num w:numId="9">
    <w:abstractNumId w:val="10"/>
  </w:num>
  <w:num w:numId="10">
    <w:abstractNumId w:val="13"/>
  </w:num>
  <w:num w:numId="11">
    <w:abstractNumId w:val="15"/>
  </w:num>
  <w:num w:numId="12">
    <w:abstractNumId w:val="24"/>
  </w:num>
  <w:num w:numId="13">
    <w:abstractNumId w:val="20"/>
  </w:num>
  <w:num w:numId="14">
    <w:abstractNumId w:val="6"/>
  </w:num>
  <w:num w:numId="15">
    <w:abstractNumId w:val="29"/>
  </w:num>
  <w:num w:numId="16">
    <w:abstractNumId w:val="19"/>
  </w:num>
  <w:num w:numId="17">
    <w:abstractNumId w:val="2"/>
  </w:num>
  <w:num w:numId="18">
    <w:abstractNumId w:val="18"/>
  </w:num>
  <w:num w:numId="19">
    <w:abstractNumId w:val="7"/>
  </w:num>
  <w:num w:numId="20">
    <w:abstractNumId w:val="28"/>
  </w:num>
  <w:num w:numId="21">
    <w:abstractNumId w:val="11"/>
  </w:num>
  <w:num w:numId="22">
    <w:abstractNumId w:val="16"/>
  </w:num>
  <w:num w:numId="23">
    <w:abstractNumId w:val="26"/>
  </w:num>
  <w:num w:numId="24">
    <w:abstractNumId w:val="14"/>
  </w:num>
  <w:num w:numId="25">
    <w:abstractNumId w:val="24"/>
  </w:num>
  <w:num w:numId="26">
    <w:abstractNumId w:val="24"/>
  </w:num>
  <w:num w:numId="27">
    <w:abstractNumId w:val="24"/>
  </w:num>
  <w:num w:numId="28">
    <w:abstractNumId w:val="24"/>
  </w:num>
  <w:num w:numId="29">
    <w:abstractNumId w:val="14"/>
  </w:num>
  <w:num w:numId="30">
    <w:abstractNumId w:val="14"/>
  </w:num>
  <w:num w:numId="31">
    <w:abstractNumId w:val="14"/>
  </w:num>
  <w:num w:numId="32">
    <w:abstractNumId w:val="14"/>
  </w:num>
  <w:num w:numId="33">
    <w:abstractNumId w:val="14"/>
  </w:num>
  <w:num w:numId="34">
    <w:abstractNumId w:val="24"/>
  </w:num>
  <w:num w:numId="35">
    <w:abstractNumId w:val="24"/>
  </w:num>
  <w:num w:numId="36">
    <w:abstractNumId w:val="32"/>
  </w:num>
  <w:num w:numId="37">
    <w:abstractNumId w:val="1"/>
  </w:num>
  <w:num w:numId="38">
    <w:abstractNumId w:val="0"/>
  </w:num>
  <w:num w:numId="39">
    <w:abstractNumId w:val="30"/>
  </w:num>
  <w:num w:numId="40">
    <w:abstractNumId w:val="12"/>
  </w:num>
  <w:num w:numId="41">
    <w:abstractNumId w:val="17"/>
  </w:num>
  <w:num w:numId="42">
    <w:abstractNumId w:val="23"/>
  </w:num>
  <w:num w:numId="43">
    <w:abstractNumId w:val="3"/>
  </w:num>
  <w:num w:numId="44">
    <w:abstractNumId w:val="22"/>
  </w:num>
  <w:num w:numId="45">
    <w:abstractNumId w:val="24"/>
  </w:num>
  <w:num w:numId="46">
    <w:abstractNumId w:val="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0D5F"/>
    <w:rsid w:val="00083E61"/>
    <w:rsid w:val="00087C7F"/>
    <w:rsid w:val="000942F4"/>
    <w:rsid w:val="000A378E"/>
    <w:rsid w:val="000A70A8"/>
    <w:rsid w:val="000B06CD"/>
    <w:rsid w:val="000B6AE7"/>
    <w:rsid w:val="000B6DD8"/>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2FA9"/>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63AD6"/>
    <w:rsid w:val="0028114C"/>
    <w:rsid w:val="002826E4"/>
    <w:rsid w:val="00291A31"/>
    <w:rsid w:val="00296B9E"/>
    <w:rsid w:val="00297877"/>
    <w:rsid w:val="00297BED"/>
    <w:rsid w:val="002A115E"/>
    <w:rsid w:val="002B5D14"/>
    <w:rsid w:val="002B7B58"/>
    <w:rsid w:val="002C30C2"/>
    <w:rsid w:val="002C6626"/>
    <w:rsid w:val="002D5074"/>
    <w:rsid w:val="00302EDA"/>
    <w:rsid w:val="00305C14"/>
    <w:rsid w:val="00320C8D"/>
    <w:rsid w:val="0032545C"/>
    <w:rsid w:val="00333B09"/>
    <w:rsid w:val="00335A26"/>
    <w:rsid w:val="00335FC1"/>
    <w:rsid w:val="00342598"/>
    <w:rsid w:val="0035304F"/>
    <w:rsid w:val="003621D3"/>
    <w:rsid w:val="00362A90"/>
    <w:rsid w:val="00373BBC"/>
    <w:rsid w:val="00383AB7"/>
    <w:rsid w:val="00383DFE"/>
    <w:rsid w:val="00383F0E"/>
    <w:rsid w:val="00390570"/>
    <w:rsid w:val="00392592"/>
    <w:rsid w:val="00396079"/>
    <w:rsid w:val="003B2A34"/>
    <w:rsid w:val="003B5F5A"/>
    <w:rsid w:val="003B7A55"/>
    <w:rsid w:val="003D2011"/>
    <w:rsid w:val="003D3E21"/>
    <w:rsid w:val="003D6401"/>
    <w:rsid w:val="00402D0B"/>
    <w:rsid w:val="00406CFF"/>
    <w:rsid w:val="004073DA"/>
    <w:rsid w:val="004076FD"/>
    <w:rsid w:val="00407EC4"/>
    <w:rsid w:val="00410A0D"/>
    <w:rsid w:val="0041728E"/>
    <w:rsid w:val="00424292"/>
    <w:rsid w:val="00425FE4"/>
    <w:rsid w:val="0043706C"/>
    <w:rsid w:val="00437218"/>
    <w:rsid w:val="00443348"/>
    <w:rsid w:val="00451F10"/>
    <w:rsid w:val="00452DF1"/>
    <w:rsid w:val="00455551"/>
    <w:rsid w:val="00470EEC"/>
    <w:rsid w:val="00472A90"/>
    <w:rsid w:val="00491CE6"/>
    <w:rsid w:val="004A7A14"/>
    <w:rsid w:val="004A7B46"/>
    <w:rsid w:val="004C0762"/>
    <w:rsid w:val="004C09F2"/>
    <w:rsid w:val="004C6840"/>
    <w:rsid w:val="004D0D1D"/>
    <w:rsid w:val="004E4F44"/>
    <w:rsid w:val="005018C6"/>
    <w:rsid w:val="005020D3"/>
    <w:rsid w:val="00507BF3"/>
    <w:rsid w:val="00521C25"/>
    <w:rsid w:val="00525E8F"/>
    <w:rsid w:val="0054156B"/>
    <w:rsid w:val="0054678B"/>
    <w:rsid w:val="00573FE7"/>
    <w:rsid w:val="00582B63"/>
    <w:rsid w:val="005844D0"/>
    <w:rsid w:val="00596B63"/>
    <w:rsid w:val="005A61C0"/>
    <w:rsid w:val="005B5964"/>
    <w:rsid w:val="005B7920"/>
    <w:rsid w:val="005D7144"/>
    <w:rsid w:val="005E7DB4"/>
    <w:rsid w:val="005F492E"/>
    <w:rsid w:val="0060410C"/>
    <w:rsid w:val="00605758"/>
    <w:rsid w:val="00605BA8"/>
    <w:rsid w:val="006238F5"/>
    <w:rsid w:val="00632864"/>
    <w:rsid w:val="00643728"/>
    <w:rsid w:val="006507FB"/>
    <w:rsid w:val="006572F3"/>
    <w:rsid w:val="006709BB"/>
    <w:rsid w:val="00684BCF"/>
    <w:rsid w:val="00693D9D"/>
    <w:rsid w:val="0069666C"/>
    <w:rsid w:val="006A6A77"/>
    <w:rsid w:val="006A6CCC"/>
    <w:rsid w:val="006B7324"/>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5F"/>
    <w:rsid w:val="007A72A3"/>
    <w:rsid w:val="007B0BBB"/>
    <w:rsid w:val="007B7BC8"/>
    <w:rsid w:val="007C03E3"/>
    <w:rsid w:val="007C2C8A"/>
    <w:rsid w:val="007D0E1B"/>
    <w:rsid w:val="007E5D1B"/>
    <w:rsid w:val="008041BE"/>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52CC"/>
    <w:rsid w:val="00917422"/>
    <w:rsid w:val="009211F7"/>
    <w:rsid w:val="0092416B"/>
    <w:rsid w:val="009245D5"/>
    <w:rsid w:val="0092645B"/>
    <w:rsid w:val="0096092A"/>
    <w:rsid w:val="00964D40"/>
    <w:rsid w:val="00966780"/>
    <w:rsid w:val="0097290B"/>
    <w:rsid w:val="00974467"/>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86497"/>
    <w:rsid w:val="00A929F3"/>
    <w:rsid w:val="00AA6752"/>
    <w:rsid w:val="00AB4B27"/>
    <w:rsid w:val="00AB63EC"/>
    <w:rsid w:val="00AC7CB5"/>
    <w:rsid w:val="00AE34BF"/>
    <w:rsid w:val="00AE3CBA"/>
    <w:rsid w:val="00B162EB"/>
    <w:rsid w:val="00B20FB0"/>
    <w:rsid w:val="00B31D47"/>
    <w:rsid w:val="00B33DA7"/>
    <w:rsid w:val="00B3786C"/>
    <w:rsid w:val="00B54C8A"/>
    <w:rsid w:val="00B603B4"/>
    <w:rsid w:val="00B67297"/>
    <w:rsid w:val="00B7052F"/>
    <w:rsid w:val="00B71665"/>
    <w:rsid w:val="00B7562B"/>
    <w:rsid w:val="00B84923"/>
    <w:rsid w:val="00B849DC"/>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D1DA7"/>
    <w:rsid w:val="00CD2886"/>
    <w:rsid w:val="00CE4772"/>
    <w:rsid w:val="00CF1E6A"/>
    <w:rsid w:val="00D00099"/>
    <w:rsid w:val="00D04BE9"/>
    <w:rsid w:val="00D04C40"/>
    <w:rsid w:val="00D15EA8"/>
    <w:rsid w:val="00D3649F"/>
    <w:rsid w:val="00D415FF"/>
    <w:rsid w:val="00D42DA7"/>
    <w:rsid w:val="00D43767"/>
    <w:rsid w:val="00D44A86"/>
    <w:rsid w:val="00D50CA1"/>
    <w:rsid w:val="00D56134"/>
    <w:rsid w:val="00D66CF4"/>
    <w:rsid w:val="00D704E3"/>
    <w:rsid w:val="00D7730F"/>
    <w:rsid w:val="00D83274"/>
    <w:rsid w:val="00D84185"/>
    <w:rsid w:val="00D92121"/>
    <w:rsid w:val="00DA1E9F"/>
    <w:rsid w:val="00DA45E4"/>
    <w:rsid w:val="00DA5F9E"/>
    <w:rsid w:val="00DA700E"/>
    <w:rsid w:val="00DC7BC5"/>
    <w:rsid w:val="00DD2F80"/>
    <w:rsid w:val="00DE0820"/>
    <w:rsid w:val="00E01D04"/>
    <w:rsid w:val="00E109F2"/>
    <w:rsid w:val="00E11369"/>
    <w:rsid w:val="00E438DD"/>
    <w:rsid w:val="00E5787F"/>
    <w:rsid w:val="00E722DC"/>
    <w:rsid w:val="00E7793C"/>
    <w:rsid w:val="00E806A9"/>
    <w:rsid w:val="00E814B8"/>
    <w:rsid w:val="00E83449"/>
    <w:rsid w:val="00E90475"/>
    <w:rsid w:val="00EA0768"/>
    <w:rsid w:val="00EA0F70"/>
    <w:rsid w:val="00EA25AD"/>
    <w:rsid w:val="00EC043D"/>
    <w:rsid w:val="00EC1BEF"/>
    <w:rsid w:val="00ED05E7"/>
    <w:rsid w:val="00ED3898"/>
    <w:rsid w:val="00ED48D7"/>
    <w:rsid w:val="00EF3730"/>
    <w:rsid w:val="00EF3E19"/>
    <w:rsid w:val="00EF45C6"/>
    <w:rsid w:val="00EF46CC"/>
    <w:rsid w:val="00F01CE3"/>
    <w:rsid w:val="00F06AE9"/>
    <w:rsid w:val="00F070B4"/>
    <w:rsid w:val="00F071B8"/>
    <w:rsid w:val="00F11B50"/>
    <w:rsid w:val="00F16477"/>
    <w:rsid w:val="00F226A0"/>
    <w:rsid w:val="00F35D9B"/>
    <w:rsid w:val="00F503DA"/>
    <w:rsid w:val="00F52113"/>
    <w:rsid w:val="00F541F4"/>
    <w:rsid w:val="00F71C12"/>
    <w:rsid w:val="00F76142"/>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3509E-9471-489F-A6D9-E718AE07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48369829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patrickblaufuss\OneDrive\SoyStat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ofi01i5\AppData\Local\Microsoft\Windows\Temporary%20Internet%20Files\Content.Outlook\079AD6KZ\SAA%202017%20Powell%20Blaufus%20soy%20select%20fish%20stockou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ofi01i5\AppData\Local\Microsoft\Windows\Temporary%20Internet%20Files\Content.Outlook\079AD6KZ\SAA%202017%20Powell%20Blaufus%20soy%20select%20fish%20stockout.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uofi01i5\AppData\Local\Microsoft\Windows\Temporary%20Internet%20Files\Content.Outlook\079AD6KZ\SS%20Trial%20Graph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Arial" charset="0"/>
                <a:ea typeface="Arial" charset="0"/>
                <a:cs typeface="Arial" charset="0"/>
              </a:defRPr>
            </a:pPr>
            <a:r>
              <a:rPr lang="en-US" sz="1600" b="1">
                <a:latin typeface="Arial" charset="0"/>
                <a:ea typeface="Arial" charset="0"/>
                <a:cs typeface="Arial" charset="0"/>
              </a:rPr>
              <a:t>Weight Gain</a:t>
            </a:r>
            <a:r>
              <a:rPr lang="en-US" sz="1600" b="1" baseline="0">
                <a:latin typeface="Arial" charset="0"/>
                <a:ea typeface="Arial" charset="0"/>
                <a:cs typeface="Arial" charset="0"/>
              </a:rPr>
              <a:t> (%)</a:t>
            </a:r>
            <a:endParaRPr lang="en-US" sz="1600" b="1">
              <a:latin typeface="Arial" charset="0"/>
              <a:ea typeface="Arial" charset="0"/>
              <a:cs typeface="Arial" charset="0"/>
            </a:endParaRPr>
          </a:p>
        </c:rich>
      </c:tx>
      <c:overlay val="0"/>
      <c:spPr>
        <a:noFill/>
        <a:ln>
          <a:noFill/>
        </a:ln>
        <a:effectLst/>
      </c:spPr>
    </c:title>
    <c:autoTitleDeleted val="0"/>
    <c:plotArea>
      <c:layout/>
      <c:barChart>
        <c:barDir val="col"/>
        <c:grouping val="clustered"/>
        <c:varyColors val="0"/>
        <c:ser>
          <c:idx val="0"/>
          <c:order val="0"/>
          <c:tx>
            <c:strRef>
              <c:f>Sheet1!$K$2</c:f>
              <c:strCache>
                <c:ptCount val="1"/>
                <c:pt idx="0">
                  <c:v>CSS</c:v>
                </c:pt>
              </c:strCache>
            </c:strRef>
          </c:tx>
          <c:spPr>
            <a:solidFill>
              <a:schemeClr val="bg2">
                <a:lumMod val="50000"/>
              </a:schemeClr>
            </a:solidFill>
            <a:ln>
              <a:noFill/>
            </a:ln>
            <a:effectLst/>
          </c:spPr>
          <c:invertIfNegative val="0"/>
          <c:errBars>
            <c:errBarType val="both"/>
            <c:errValType val="fixedVal"/>
            <c:noEndCap val="0"/>
            <c:val val="6.5"/>
            <c:spPr>
              <a:noFill/>
              <a:ln w="9525" cap="flat" cmpd="sng" algn="ctr">
                <a:solidFill>
                  <a:schemeClr val="tx1">
                    <a:lumMod val="65000"/>
                    <a:lumOff val="35000"/>
                  </a:schemeClr>
                </a:solidFill>
                <a:round/>
              </a:ln>
              <a:effectLst/>
            </c:spPr>
          </c:errBars>
          <c:cat>
            <c:strRef>
              <c:f>Sheet1!$L$1:$M$1</c:f>
              <c:strCache>
                <c:ptCount val="2"/>
                <c:pt idx="0">
                  <c:v>0% Soy</c:v>
                </c:pt>
                <c:pt idx="1">
                  <c:v>40% Soy</c:v>
                </c:pt>
              </c:strCache>
            </c:strRef>
          </c:cat>
          <c:val>
            <c:numRef>
              <c:f>Sheet1!$L$2:$M$2</c:f>
              <c:numCache>
                <c:formatCode>General</c:formatCode>
                <c:ptCount val="2"/>
                <c:pt idx="0">
                  <c:v>429</c:v>
                </c:pt>
                <c:pt idx="1">
                  <c:v>415.6</c:v>
                </c:pt>
              </c:numCache>
            </c:numRef>
          </c:val>
        </c:ser>
        <c:ser>
          <c:idx val="1"/>
          <c:order val="1"/>
          <c:tx>
            <c:strRef>
              <c:f>Sheet1!$K$3</c:f>
              <c:strCache>
                <c:ptCount val="1"/>
                <c:pt idx="0">
                  <c:v>HGM</c:v>
                </c:pt>
              </c:strCache>
            </c:strRef>
          </c:tx>
          <c:spPr>
            <a:solidFill>
              <a:schemeClr val="bg1">
                <a:lumMod val="75000"/>
              </a:schemeClr>
            </a:solidFill>
            <a:ln>
              <a:noFill/>
            </a:ln>
            <a:effectLst/>
          </c:spPr>
          <c:invertIfNegative val="0"/>
          <c:errBars>
            <c:errBarType val="both"/>
            <c:errValType val="fixedVal"/>
            <c:noEndCap val="0"/>
            <c:val val="6.5"/>
            <c:spPr>
              <a:noFill/>
              <a:ln w="9525" cap="flat" cmpd="sng" algn="ctr">
                <a:solidFill>
                  <a:schemeClr val="tx1">
                    <a:lumMod val="65000"/>
                    <a:lumOff val="35000"/>
                  </a:schemeClr>
                </a:solidFill>
                <a:round/>
              </a:ln>
              <a:effectLst/>
            </c:spPr>
          </c:errBars>
          <c:cat>
            <c:strRef>
              <c:f>Sheet1!$L$1:$M$1</c:f>
              <c:strCache>
                <c:ptCount val="2"/>
                <c:pt idx="0">
                  <c:v>0% Soy</c:v>
                </c:pt>
                <c:pt idx="1">
                  <c:v>40% Soy</c:v>
                </c:pt>
              </c:strCache>
            </c:strRef>
          </c:cat>
          <c:val>
            <c:numRef>
              <c:f>Sheet1!$L$3:$M$3</c:f>
              <c:numCache>
                <c:formatCode>General</c:formatCode>
                <c:ptCount val="2"/>
                <c:pt idx="0">
                  <c:v>526.20000000000005</c:v>
                </c:pt>
                <c:pt idx="1">
                  <c:v>509.4</c:v>
                </c:pt>
              </c:numCache>
            </c:numRef>
          </c:val>
        </c:ser>
        <c:dLbls>
          <c:showLegendKey val="0"/>
          <c:showVal val="0"/>
          <c:showCatName val="0"/>
          <c:showSerName val="0"/>
          <c:showPercent val="0"/>
          <c:showBubbleSize val="0"/>
        </c:dLbls>
        <c:gapWidth val="117"/>
        <c:axId val="361978056"/>
        <c:axId val="361973744"/>
      </c:barChart>
      <c:catAx>
        <c:axId val="361978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charset="0"/>
                <a:ea typeface="Arial" charset="0"/>
                <a:cs typeface="Arial" charset="0"/>
              </a:defRPr>
            </a:pPr>
            <a:endParaRPr lang="en-US"/>
          </a:p>
        </c:txPr>
        <c:crossAx val="361973744"/>
        <c:crosses val="autoZero"/>
        <c:auto val="1"/>
        <c:lblAlgn val="ctr"/>
        <c:lblOffset val="100"/>
        <c:noMultiLvlLbl val="0"/>
      </c:catAx>
      <c:valAx>
        <c:axId val="361973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charset="0"/>
                <a:ea typeface="Arial" charset="0"/>
                <a:cs typeface="Arial" charset="0"/>
              </a:defRPr>
            </a:pPr>
            <a:endParaRPr lang="en-US"/>
          </a:p>
        </c:txPr>
        <c:crossAx val="361978056"/>
        <c:crosses val="autoZero"/>
        <c:crossBetween val="between"/>
        <c:majorUnit val="2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charset="0"/>
              <a:ea typeface="Arial" charset="0"/>
              <a:cs typeface="Arial"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Mean fish growth (g)</a:t>
            </a:r>
          </a:p>
        </c:rich>
      </c:tx>
      <c:overlay val="0"/>
    </c:title>
    <c:autoTitleDeleted val="0"/>
    <c:plotArea>
      <c:layout/>
      <c:barChart>
        <c:barDir val="col"/>
        <c:grouping val="clustered"/>
        <c:varyColors val="0"/>
        <c:ser>
          <c:idx val="0"/>
          <c:order val="0"/>
          <c:tx>
            <c:v>Mean fish growht (g)</c:v>
          </c:tx>
          <c:invertIfNegative val="0"/>
          <c:cat>
            <c:multiLvlStrRef>
              <c:f>'[SAA 2017 Powell Blaufus soy select fish stockout.xlsx]STATS'!$A$32:$B$35</c:f>
              <c:multiLvlStrCache>
                <c:ptCount val="4"/>
                <c:lvl>
                  <c:pt idx="0">
                    <c:v>CSS</c:v>
                  </c:pt>
                  <c:pt idx="1">
                    <c:v>HGM</c:v>
                  </c:pt>
                  <c:pt idx="2">
                    <c:v>CSS</c:v>
                  </c:pt>
                  <c:pt idx="3">
                    <c:v>HGM</c:v>
                  </c:pt>
                </c:lvl>
                <c:lvl>
                  <c:pt idx="0">
                    <c:v>0</c:v>
                  </c:pt>
                  <c:pt idx="1">
                    <c:v>0</c:v>
                  </c:pt>
                  <c:pt idx="2">
                    <c:v>40</c:v>
                  </c:pt>
                  <c:pt idx="3">
                    <c:v>40</c:v>
                  </c:pt>
                </c:lvl>
              </c:multiLvlStrCache>
            </c:multiLvlStrRef>
          </c:cat>
          <c:val>
            <c:numRef>
              <c:f>'[SAA 2017 Powell Blaufus soy select fish stockout.xlsx]STATS'!$AA$32:$AA$35</c:f>
              <c:numCache>
                <c:formatCode>0.0</c:formatCode>
                <c:ptCount val="4"/>
                <c:pt idx="0">
                  <c:v>333.48333333333329</c:v>
                </c:pt>
                <c:pt idx="1">
                  <c:v>409.69020467836253</c:v>
                </c:pt>
                <c:pt idx="2">
                  <c:v>326.95</c:v>
                </c:pt>
                <c:pt idx="3">
                  <c:v>393.80964912280706</c:v>
                </c:pt>
              </c:numCache>
            </c:numRef>
          </c:val>
        </c:ser>
        <c:dLbls>
          <c:showLegendKey val="0"/>
          <c:showVal val="0"/>
          <c:showCatName val="0"/>
          <c:showSerName val="0"/>
          <c:showPercent val="0"/>
          <c:showBubbleSize val="0"/>
        </c:dLbls>
        <c:gapWidth val="150"/>
        <c:axId val="361974528"/>
        <c:axId val="361974136"/>
      </c:barChart>
      <c:catAx>
        <c:axId val="361974528"/>
        <c:scaling>
          <c:orientation val="minMax"/>
        </c:scaling>
        <c:delete val="0"/>
        <c:axPos val="b"/>
        <c:title>
          <c:tx>
            <c:rich>
              <a:bodyPr/>
              <a:lstStyle/>
              <a:p>
                <a:pPr>
                  <a:defRPr/>
                </a:pPr>
                <a:r>
                  <a:rPr lang="en-US"/>
                  <a:t>Strain</a:t>
                </a:r>
              </a:p>
              <a:p>
                <a:pPr>
                  <a:defRPr/>
                </a:pPr>
                <a:r>
                  <a:rPr lang="en-US"/>
                  <a:t>Soy level</a:t>
                </a:r>
              </a:p>
            </c:rich>
          </c:tx>
          <c:overlay val="0"/>
        </c:title>
        <c:numFmt formatCode="General" sourceLinked="0"/>
        <c:majorTickMark val="none"/>
        <c:minorTickMark val="none"/>
        <c:tickLblPos val="nextTo"/>
        <c:crossAx val="361974136"/>
        <c:crosses val="autoZero"/>
        <c:auto val="1"/>
        <c:lblAlgn val="ctr"/>
        <c:lblOffset val="100"/>
        <c:noMultiLvlLbl val="0"/>
      </c:catAx>
      <c:valAx>
        <c:axId val="361974136"/>
        <c:scaling>
          <c:orientation val="minMax"/>
        </c:scaling>
        <c:delete val="0"/>
        <c:axPos val="l"/>
        <c:majorGridlines/>
        <c:title>
          <c:tx>
            <c:rich>
              <a:bodyPr/>
              <a:lstStyle/>
              <a:p>
                <a:pPr>
                  <a:defRPr/>
                </a:pPr>
                <a:r>
                  <a:rPr lang="en-US"/>
                  <a:t>grams</a:t>
                </a:r>
              </a:p>
            </c:rich>
          </c:tx>
          <c:overlay val="0"/>
        </c:title>
        <c:numFmt formatCode="0.0" sourceLinked="1"/>
        <c:majorTickMark val="out"/>
        <c:minorTickMark val="none"/>
        <c:tickLblPos val="nextTo"/>
        <c:crossAx val="361974528"/>
        <c:crosses val="autoZero"/>
        <c:crossBetween val="between"/>
      </c:valAx>
    </c:plotArea>
    <c:plotVisOnly val="1"/>
    <c:dispBlanksAs val="gap"/>
    <c:showDLblsOverMax val="0"/>
  </c:chart>
  <c:txPr>
    <a:bodyPr/>
    <a:lstStyle/>
    <a:p>
      <a:pPr>
        <a:defRPr b="1"/>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v>Feed Conversion Ratio</c:v>
          </c:tx>
          <c:invertIfNegative val="0"/>
          <c:cat>
            <c:multiLvlStrRef>
              <c:f>'[SAA 2017 Powell Blaufus soy select fish stockout.xlsx]STATS'!$A$32:$B$35</c:f>
              <c:multiLvlStrCache>
                <c:ptCount val="4"/>
                <c:lvl>
                  <c:pt idx="0">
                    <c:v>CSS</c:v>
                  </c:pt>
                  <c:pt idx="1">
                    <c:v>HGM</c:v>
                  </c:pt>
                  <c:pt idx="2">
                    <c:v>CSS</c:v>
                  </c:pt>
                  <c:pt idx="3">
                    <c:v>HGM</c:v>
                  </c:pt>
                </c:lvl>
                <c:lvl>
                  <c:pt idx="0">
                    <c:v>0</c:v>
                  </c:pt>
                  <c:pt idx="1">
                    <c:v>0</c:v>
                  </c:pt>
                  <c:pt idx="2">
                    <c:v>40</c:v>
                  </c:pt>
                  <c:pt idx="3">
                    <c:v>40</c:v>
                  </c:pt>
                </c:lvl>
              </c:multiLvlStrCache>
            </c:multiLvlStrRef>
          </c:cat>
          <c:val>
            <c:numRef>
              <c:f>'[SAA 2017 Powell Blaufus soy select fish stockout.xlsx]STATS'!$AB$32:$AB$35</c:f>
              <c:numCache>
                <c:formatCode>0.00</c:formatCode>
                <c:ptCount val="4"/>
                <c:pt idx="0">
                  <c:v>0.86968615204702704</c:v>
                </c:pt>
                <c:pt idx="1">
                  <c:v>0.86488577534893674</c:v>
                </c:pt>
                <c:pt idx="2">
                  <c:v>0.91338578351895627</c:v>
                </c:pt>
                <c:pt idx="3">
                  <c:v>0.88297363211258151</c:v>
                </c:pt>
              </c:numCache>
            </c:numRef>
          </c:val>
        </c:ser>
        <c:dLbls>
          <c:showLegendKey val="0"/>
          <c:showVal val="0"/>
          <c:showCatName val="0"/>
          <c:showSerName val="0"/>
          <c:showPercent val="0"/>
          <c:showBubbleSize val="0"/>
        </c:dLbls>
        <c:gapWidth val="150"/>
        <c:axId val="361971000"/>
        <c:axId val="361971784"/>
      </c:barChart>
      <c:catAx>
        <c:axId val="361971000"/>
        <c:scaling>
          <c:orientation val="minMax"/>
        </c:scaling>
        <c:delete val="0"/>
        <c:axPos val="b"/>
        <c:title>
          <c:tx>
            <c:rich>
              <a:bodyPr/>
              <a:lstStyle/>
              <a:p>
                <a:pPr>
                  <a:defRPr/>
                </a:pPr>
                <a:r>
                  <a:rPr lang="en-US"/>
                  <a:t>Strain</a:t>
                </a:r>
              </a:p>
              <a:p>
                <a:pPr>
                  <a:defRPr/>
                </a:pPr>
                <a:r>
                  <a:rPr lang="en-US"/>
                  <a:t>Soy level</a:t>
                </a:r>
              </a:p>
            </c:rich>
          </c:tx>
          <c:overlay val="0"/>
        </c:title>
        <c:numFmt formatCode="General" sourceLinked="0"/>
        <c:majorTickMark val="none"/>
        <c:minorTickMark val="none"/>
        <c:tickLblPos val="nextTo"/>
        <c:crossAx val="361971784"/>
        <c:crosses val="autoZero"/>
        <c:auto val="1"/>
        <c:lblAlgn val="ctr"/>
        <c:lblOffset val="100"/>
        <c:noMultiLvlLbl val="0"/>
      </c:catAx>
      <c:valAx>
        <c:axId val="361971784"/>
        <c:scaling>
          <c:orientation val="minMax"/>
          <c:min val="0.70000000000000007"/>
        </c:scaling>
        <c:delete val="0"/>
        <c:axPos val="l"/>
        <c:majorGridlines/>
        <c:title>
          <c:tx>
            <c:rich>
              <a:bodyPr/>
              <a:lstStyle/>
              <a:p>
                <a:pPr>
                  <a:defRPr/>
                </a:pPr>
                <a:r>
                  <a:rPr lang="en-US"/>
                  <a:t>FCR</a:t>
                </a:r>
              </a:p>
            </c:rich>
          </c:tx>
          <c:overlay val="0"/>
        </c:title>
        <c:numFmt formatCode="0.00" sourceLinked="1"/>
        <c:majorTickMark val="out"/>
        <c:minorTickMark val="none"/>
        <c:tickLblPos val="nextTo"/>
        <c:crossAx val="361971000"/>
        <c:crosses val="autoZero"/>
        <c:crossBetween val="between"/>
      </c:valAx>
    </c:plotArea>
    <c:plotVisOnly val="1"/>
    <c:dispBlanksAs val="gap"/>
    <c:showDLblsOverMax val="0"/>
  </c:chart>
  <c:txPr>
    <a:bodyPr/>
    <a:lstStyle/>
    <a:p>
      <a:pPr>
        <a:defRPr b="1"/>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Arial" charset="0"/>
                <a:ea typeface="Arial" charset="0"/>
                <a:cs typeface="Arial" charset="0"/>
              </a:defRPr>
            </a:pPr>
            <a:r>
              <a:rPr lang="en-US"/>
              <a:t>IL-17AF2b</a:t>
            </a:r>
          </a:p>
        </c:rich>
      </c:tx>
      <c:overlay val="0"/>
      <c:spPr>
        <a:noFill/>
        <a:ln>
          <a:noFill/>
        </a:ln>
        <a:effectLst/>
      </c:spPr>
    </c:title>
    <c:autoTitleDeleted val="0"/>
    <c:plotArea>
      <c:layout/>
      <c:barChart>
        <c:barDir val="col"/>
        <c:grouping val="clustered"/>
        <c:varyColors val="0"/>
        <c:ser>
          <c:idx val="0"/>
          <c:order val="0"/>
          <c:tx>
            <c:strRef>
              <c:f>Sheet1!$J$2</c:f>
              <c:strCache>
                <c:ptCount val="1"/>
                <c:pt idx="0">
                  <c:v>TL</c:v>
                </c:pt>
              </c:strCache>
            </c:strRef>
          </c:tx>
          <c:spPr>
            <a:solidFill>
              <a:schemeClr val="bg1">
                <a:lumMod val="85000"/>
              </a:schemeClr>
            </a:solidFill>
            <a:ln>
              <a:noFill/>
            </a:ln>
            <a:effectLst/>
          </c:spPr>
          <c:invertIfNegative val="0"/>
          <c:errBars>
            <c:errBarType val="both"/>
            <c:errValType val="cust"/>
            <c:noEndCap val="0"/>
            <c:plus>
              <c:numRef>
                <c:f>Sheet1!$N$4:$N$5</c:f>
                <c:numCache>
                  <c:formatCode>General</c:formatCode>
                  <c:ptCount val="2"/>
                  <c:pt idx="0">
                    <c:v>0.37</c:v>
                  </c:pt>
                  <c:pt idx="1">
                    <c:v>0.49</c:v>
                  </c:pt>
                </c:numCache>
              </c:numRef>
            </c:plus>
            <c:minus>
              <c:numRef>
                <c:f>Sheet1!$N$4:$N$5</c:f>
                <c:numCache>
                  <c:formatCode>General</c:formatCode>
                  <c:ptCount val="2"/>
                  <c:pt idx="0">
                    <c:v>0.37</c:v>
                  </c:pt>
                  <c:pt idx="1">
                    <c:v>0.49</c:v>
                  </c:pt>
                </c:numCache>
              </c:numRef>
            </c:minus>
            <c:spPr>
              <a:noFill/>
              <a:ln w="9525" cap="flat" cmpd="sng" algn="ctr">
                <a:solidFill>
                  <a:schemeClr val="tx1">
                    <a:lumMod val="65000"/>
                    <a:lumOff val="35000"/>
                  </a:schemeClr>
                </a:solidFill>
                <a:round/>
              </a:ln>
              <a:effectLst/>
            </c:spPr>
          </c:errBars>
          <c:cat>
            <c:strRef>
              <c:f>Sheet1!$K$1:$L$1</c:f>
              <c:strCache>
                <c:ptCount val="2"/>
                <c:pt idx="0">
                  <c:v>0% Soy</c:v>
                </c:pt>
                <c:pt idx="1">
                  <c:v>40% Soy</c:v>
                </c:pt>
              </c:strCache>
            </c:strRef>
          </c:cat>
          <c:val>
            <c:numRef>
              <c:f>Sheet1!$K$2:$L$2</c:f>
              <c:numCache>
                <c:formatCode>General</c:formatCode>
                <c:ptCount val="2"/>
                <c:pt idx="0">
                  <c:v>1.5209999999999999</c:v>
                </c:pt>
                <c:pt idx="1">
                  <c:v>2.544</c:v>
                </c:pt>
              </c:numCache>
            </c:numRef>
          </c:val>
        </c:ser>
        <c:ser>
          <c:idx val="1"/>
          <c:order val="1"/>
          <c:tx>
            <c:strRef>
              <c:f>Sheet1!$J$3</c:f>
              <c:strCache>
                <c:ptCount val="1"/>
                <c:pt idx="0">
                  <c:v>HGM</c:v>
                </c:pt>
              </c:strCache>
            </c:strRef>
          </c:tx>
          <c:spPr>
            <a:solidFill>
              <a:schemeClr val="bg1">
                <a:lumMod val="50000"/>
              </a:schemeClr>
            </a:solidFill>
            <a:ln>
              <a:noFill/>
            </a:ln>
            <a:effectLst/>
          </c:spPr>
          <c:invertIfNegative val="0"/>
          <c:errBars>
            <c:errBarType val="both"/>
            <c:errValType val="cust"/>
            <c:noEndCap val="0"/>
            <c:plus>
              <c:numRef>
                <c:f>Sheet1!$N$2:$N$3</c:f>
                <c:numCache>
                  <c:formatCode>General</c:formatCode>
                  <c:ptCount val="2"/>
                  <c:pt idx="0">
                    <c:v>0.5</c:v>
                  </c:pt>
                  <c:pt idx="1">
                    <c:v>0.32</c:v>
                  </c:pt>
                </c:numCache>
              </c:numRef>
            </c:plus>
            <c:minus>
              <c:numRef>
                <c:f>Sheet1!$N$2:$N$3</c:f>
                <c:numCache>
                  <c:formatCode>General</c:formatCode>
                  <c:ptCount val="2"/>
                  <c:pt idx="0">
                    <c:v>0.5</c:v>
                  </c:pt>
                  <c:pt idx="1">
                    <c:v>0.32</c:v>
                  </c:pt>
                </c:numCache>
              </c:numRef>
            </c:minus>
            <c:spPr>
              <a:noFill/>
              <a:ln w="9525" cap="flat" cmpd="sng" algn="ctr">
                <a:solidFill>
                  <a:schemeClr val="tx1">
                    <a:lumMod val="65000"/>
                    <a:lumOff val="35000"/>
                  </a:schemeClr>
                </a:solidFill>
                <a:round/>
              </a:ln>
              <a:effectLst/>
            </c:spPr>
          </c:errBars>
          <c:cat>
            <c:strRef>
              <c:f>Sheet1!$K$1:$L$1</c:f>
              <c:strCache>
                <c:ptCount val="2"/>
                <c:pt idx="0">
                  <c:v>0% Soy</c:v>
                </c:pt>
                <c:pt idx="1">
                  <c:v>40% Soy</c:v>
                </c:pt>
              </c:strCache>
            </c:strRef>
          </c:cat>
          <c:val>
            <c:numRef>
              <c:f>Sheet1!$K$3:$L$3</c:f>
              <c:numCache>
                <c:formatCode>General</c:formatCode>
                <c:ptCount val="2"/>
                <c:pt idx="0">
                  <c:v>1</c:v>
                </c:pt>
                <c:pt idx="1">
                  <c:v>1.5920000000000001</c:v>
                </c:pt>
              </c:numCache>
            </c:numRef>
          </c:val>
        </c:ser>
        <c:dLbls>
          <c:showLegendKey val="0"/>
          <c:showVal val="0"/>
          <c:showCatName val="0"/>
          <c:showSerName val="0"/>
          <c:showPercent val="0"/>
          <c:showBubbleSize val="0"/>
        </c:dLbls>
        <c:gapWidth val="100"/>
        <c:axId val="361972960"/>
        <c:axId val="361976880"/>
      </c:barChart>
      <c:catAx>
        <c:axId val="36197296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charset="0"/>
                <a:ea typeface="Arial" charset="0"/>
                <a:cs typeface="Arial" charset="0"/>
              </a:defRPr>
            </a:pPr>
            <a:endParaRPr lang="en-US"/>
          </a:p>
        </c:txPr>
        <c:crossAx val="361976880"/>
        <c:crosses val="autoZero"/>
        <c:auto val="1"/>
        <c:lblAlgn val="ctr"/>
        <c:lblOffset val="625"/>
        <c:noMultiLvlLbl val="0"/>
      </c:catAx>
      <c:valAx>
        <c:axId val="361976880"/>
        <c:scaling>
          <c:orientation val="minMax"/>
          <c:max val="3.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charset="0"/>
                    <a:ea typeface="Arial" charset="0"/>
                    <a:cs typeface="Arial" charset="0"/>
                  </a:defRPr>
                </a:pPr>
                <a:r>
                  <a:rPr lang="el-GR" sz="1200" b="0" i="0" baseline="0">
                    <a:effectLst/>
                  </a:rPr>
                  <a:t>ΔΔCq</a:t>
                </a:r>
                <a:endParaRPr lang="el-GR" sz="1200">
                  <a:effectLst/>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charset="0"/>
                <a:ea typeface="Arial" charset="0"/>
                <a:cs typeface="Arial" charset="0"/>
              </a:defRPr>
            </a:pPr>
            <a:endParaRPr lang="en-US"/>
          </a:p>
        </c:txPr>
        <c:crossAx val="36197296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charset="0"/>
              <a:ea typeface="Arial" charset="0"/>
              <a:cs typeface="Arial"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charset="0"/>
          <a:ea typeface="Arial" charset="0"/>
          <a:cs typeface="Arial" charset="0"/>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0.69792</cdr:x>
      <cdr:y>0.73824</cdr:y>
    </cdr:from>
    <cdr:to>
      <cdr:x>0.89792</cdr:x>
      <cdr:y>1</cdr:y>
    </cdr:to>
    <cdr:sp macro="" textlink="">
      <cdr:nvSpPr>
        <cdr:cNvPr id="2" name="TextBox 1"/>
        <cdr:cNvSpPr txBox="1"/>
      </cdr:nvSpPr>
      <cdr:spPr>
        <a:xfrm xmlns:a="http://schemas.openxmlformats.org/drawingml/2006/main">
          <a:off x="3190875" y="328850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CEE44-3C0E-46E7-83EB-78070C6F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Andy Tauer</cp:lastModifiedBy>
  <cp:revision>8</cp:revision>
  <cp:lastPrinted>2015-12-03T22:07:00Z</cp:lastPrinted>
  <dcterms:created xsi:type="dcterms:W3CDTF">2017-10-12T22:56:00Z</dcterms:created>
  <dcterms:modified xsi:type="dcterms:W3CDTF">2017-11-07T16:09:00Z</dcterms:modified>
</cp:coreProperties>
</file>