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56" w:type="dxa"/>
        <w:tblBorders>
          <w:top w:val="nil"/>
          <w:left w:val="nil"/>
          <w:bottom w:val="nil"/>
          <w:right w:val="nil"/>
        </w:tblBorders>
        <w:tblLayout w:type="fixed"/>
        <w:tblLook w:val="0000" w:firstRow="0" w:lastRow="0" w:firstColumn="0" w:lastColumn="0" w:noHBand="0" w:noVBand="0"/>
      </w:tblPr>
      <w:tblGrid>
        <w:gridCol w:w="9000"/>
        <w:gridCol w:w="4456"/>
      </w:tblGrid>
      <w:tr w:rsidR="00B34CEA" w:rsidRPr="00766E8F" w:rsidTr="00405194">
        <w:trPr>
          <w:trHeight w:val="145"/>
        </w:trPr>
        <w:tc>
          <w:tcPr>
            <w:tcW w:w="9000" w:type="dxa"/>
          </w:tcPr>
          <w:p w:rsidR="00B34CEA" w:rsidRPr="00FD0872" w:rsidRDefault="00B34CEA">
            <w:pPr>
              <w:pStyle w:val="Default"/>
              <w:rPr>
                <w:b/>
                <w:sz w:val="28"/>
                <w:szCs w:val="28"/>
              </w:rPr>
            </w:pPr>
            <w:bookmarkStart w:id="0" w:name="_GoBack"/>
            <w:bookmarkEnd w:id="0"/>
            <w:r w:rsidRPr="00FD0872">
              <w:t xml:space="preserve"> </w:t>
            </w:r>
            <w:r w:rsidRPr="00FD0872">
              <w:rPr>
                <w:b/>
                <w:sz w:val="28"/>
                <w:szCs w:val="28"/>
              </w:rPr>
              <w:t>MSR&amp;PC Production A</w:t>
            </w:r>
            <w:r w:rsidR="00E672E0" w:rsidRPr="00FD0872">
              <w:rPr>
                <w:b/>
                <w:sz w:val="28"/>
                <w:szCs w:val="28"/>
              </w:rPr>
              <w:t xml:space="preserve">ction Team </w:t>
            </w:r>
            <w:r w:rsidR="001509D4" w:rsidRPr="00FD0872">
              <w:rPr>
                <w:b/>
                <w:sz w:val="28"/>
                <w:szCs w:val="28"/>
              </w:rPr>
              <w:t>FINAL</w:t>
            </w:r>
            <w:r w:rsidR="000B7158" w:rsidRPr="00FD0872">
              <w:rPr>
                <w:b/>
                <w:sz w:val="28"/>
                <w:szCs w:val="28"/>
              </w:rPr>
              <w:t xml:space="preserve"> Report 2018-2019</w:t>
            </w:r>
            <w:r w:rsidRPr="00FD0872">
              <w:rPr>
                <w:b/>
                <w:sz w:val="28"/>
                <w:szCs w:val="28"/>
              </w:rPr>
              <w:t xml:space="preserve"> </w:t>
            </w:r>
          </w:p>
          <w:p w:rsidR="00B34CEA" w:rsidRPr="00FD0872" w:rsidRDefault="00B34CEA">
            <w:pPr>
              <w:pStyle w:val="Default"/>
            </w:pPr>
          </w:p>
          <w:p w:rsidR="00B34CEA" w:rsidRPr="00FD0872" w:rsidRDefault="00B34CEA" w:rsidP="000B7158">
            <w:pPr>
              <w:pStyle w:val="Default"/>
              <w:numPr>
                <w:ilvl w:val="0"/>
                <w:numId w:val="1"/>
              </w:numPr>
            </w:pPr>
            <w:r w:rsidRPr="00FD0872">
              <w:rPr>
                <w:b/>
              </w:rPr>
              <w:t xml:space="preserve">MSR&amp;PC </w:t>
            </w:r>
            <w:r w:rsidR="000B7158" w:rsidRPr="00FD0872">
              <w:rPr>
                <w:b/>
              </w:rPr>
              <w:t>Award</w:t>
            </w:r>
            <w:r w:rsidRPr="00FD0872">
              <w:rPr>
                <w:b/>
              </w:rPr>
              <w:t xml:space="preserve"> Number</w:t>
            </w:r>
            <w:r w:rsidR="00766E8F" w:rsidRPr="00FD0872">
              <w:rPr>
                <w:b/>
              </w:rPr>
              <w:t>:</w:t>
            </w:r>
            <w:r w:rsidRPr="00FD0872">
              <w:t xml:space="preserve"> </w:t>
            </w:r>
            <w:r w:rsidR="000B7158" w:rsidRPr="00FD0872">
              <w:t>150-4120-18-05-7527</w:t>
            </w:r>
          </w:p>
        </w:tc>
        <w:tc>
          <w:tcPr>
            <w:tcW w:w="4456" w:type="dxa"/>
          </w:tcPr>
          <w:p w:rsidR="00B34CEA" w:rsidRPr="00766E8F" w:rsidRDefault="00B34CEA">
            <w:pPr>
              <w:pStyle w:val="Default"/>
            </w:pPr>
          </w:p>
        </w:tc>
      </w:tr>
      <w:tr w:rsidR="00B34CEA" w:rsidRPr="00766E8F" w:rsidTr="00405194">
        <w:trPr>
          <w:trHeight w:val="145"/>
        </w:trPr>
        <w:tc>
          <w:tcPr>
            <w:tcW w:w="9000" w:type="dxa"/>
          </w:tcPr>
          <w:p w:rsidR="00B34CEA" w:rsidRPr="00FD0872" w:rsidRDefault="00B34CEA" w:rsidP="00140DC1">
            <w:pPr>
              <w:pStyle w:val="Default"/>
              <w:numPr>
                <w:ilvl w:val="0"/>
                <w:numId w:val="1"/>
              </w:numPr>
            </w:pPr>
            <w:r w:rsidRPr="00FD0872">
              <w:rPr>
                <w:b/>
              </w:rPr>
              <w:t>Principle Investigator</w:t>
            </w:r>
            <w:r w:rsidR="00766E8F" w:rsidRPr="00FD0872">
              <w:rPr>
                <w:b/>
              </w:rPr>
              <w:t>:</w:t>
            </w:r>
            <w:r w:rsidRPr="00FD0872">
              <w:t xml:space="preserve"> Dean Malvick</w:t>
            </w:r>
          </w:p>
        </w:tc>
        <w:tc>
          <w:tcPr>
            <w:tcW w:w="4456" w:type="dxa"/>
          </w:tcPr>
          <w:p w:rsidR="00B34CEA" w:rsidRPr="00766E8F" w:rsidRDefault="00B34CEA">
            <w:pPr>
              <w:pStyle w:val="Default"/>
            </w:pPr>
          </w:p>
        </w:tc>
      </w:tr>
      <w:tr w:rsidR="00B34CEA" w:rsidRPr="00766E8F" w:rsidTr="00405194">
        <w:trPr>
          <w:trHeight w:val="328"/>
        </w:trPr>
        <w:tc>
          <w:tcPr>
            <w:tcW w:w="9000" w:type="dxa"/>
          </w:tcPr>
          <w:p w:rsidR="00B34CEA" w:rsidRPr="00FD0872" w:rsidRDefault="00140DC1" w:rsidP="00140DC1">
            <w:pPr>
              <w:pStyle w:val="Default"/>
              <w:numPr>
                <w:ilvl w:val="0"/>
                <w:numId w:val="1"/>
              </w:numPr>
            </w:pPr>
            <w:r w:rsidRPr="00FD0872">
              <w:rPr>
                <w:b/>
              </w:rPr>
              <w:t>Department/Organization</w:t>
            </w:r>
            <w:r w:rsidRPr="00FD0872">
              <w:t xml:space="preserve">: </w:t>
            </w:r>
            <w:r w:rsidR="00B34CEA" w:rsidRPr="00FD0872">
              <w:t>Department of Plant Pat</w:t>
            </w:r>
            <w:r w:rsidRPr="00FD0872">
              <w:t>hology, University of Minnesota, St. Paul, MN</w:t>
            </w:r>
          </w:p>
        </w:tc>
        <w:tc>
          <w:tcPr>
            <w:tcW w:w="4456" w:type="dxa"/>
          </w:tcPr>
          <w:p w:rsidR="00B34CEA" w:rsidRPr="00766E8F" w:rsidRDefault="00B34CEA" w:rsidP="00B34CEA">
            <w:pPr>
              <w:pStyle w:val="Default"/>
            </w:pPr>
          </w:p>
        </w:tc>
      </w:tr>
      <w:tr w:rsidR="001A3E9A" w:rsidRPr="001A3E9A" w:rsidTr="00405194">
        <w:trPr>
          <w:trHeight w:val="388"/>
        </w:trPr>
        <w:tc>
          <w:tcPr>
            <w:tcW w:w="9000" w:type="dxa"/>
          </w:tcPr>
          <w:p w:rsidR="00B34CEA" w:rsidRPr="00FD0872" w:rsidRDefault="00B34CEA" w:rsidP="007B6558">
            <w:pPr>
              <w:pStyle w:val="Default"/>
              <w:numPr>
                <w:ilvl w:val="0"/>
                <w:numId w:val="1"/>
              </w:numPr>
              <w:rPr>
                <w:color w:val="auto"/>
              </w:rPr>
            </w:pPr>
            <w:r w:rsidRPr="00FD0872">
              <w:rPr>
                <w:b/>
                <w:color w:val="auto"/>
              </w:rPr>
              <w:t>Project Title</w:t>
            </w:r>
            <w:r w:rsidR="007B6558" w:rsidRPr="00FD0872">
              <w:rPr>
                <w:b/>
                <w:color w:val="auto"/>
              </w:rPr>
              <w:t xml:space="preserve">: </w:t>
            </w:r>
            <w:r w:rsidR="001A3E9A" w:rsidRPr="00FD0872">
              <w:rPr>
                <w:b/>
                <w:color w:val="auto"/>
              </w:rPr>
              <w:t>Optimizing Management of White Mold, SDS, and BSR in Minnesota</w:t>
            </w:r>
          </w:p>
        </w:tc>
        <w:tc>
          <w:tcPr>
            <w:tcW w:w="4456" w:type="dxa"/>
          </w:tcPr>
          <w:p w:rsidR="00B34CEA" w:rsidRPr="001A3E9A" w:rsidRDefault="00B34CEA" w:rsidP="00B34CEA">
            <w:pPr>
              <w:pStyle w:val="Default"/>
              <w:rPr>
                <w:color w:val="FF0000"/>
              </w:rPr>
            </w:pPr>
          </w:p>
        </w:tc>
      </w:tr>
      <w:tr w:rsidR="00FF4623" w:rsidRPr="00691B46" w:rsidTr="009227E3">
        <w:trPr>
          <w:trHeight w:val="145"/>
        </w:trPr>
        <w:tc>
          <w:tcPr>
            <w:tcW w:w="9000" w:type="dxa"/>
          </w:tcPr>
          <w:p w:rsidR="001A3E9A" w:rsidRPr="00FD0872" w:rsidRDefault="00B34CEA" w:rsidP="001A3E9A">
            <w:pPr>
              <w:pStyle w:val="Default"/>
              <w:numPr>
                <w:ilvl w:val="0"/>
                <w:numId w:val="4"/>
              </w:numPr>
              <w:rPr>
                <w:color w:val="000000" w:themeColor="text1"/>
              </w:rPr>
            </w:pPr>
            <w:r w:rsidRPr="00FD0872">
              <w:rPr>
                <w:b/>
                <w:color w:val="000000" w:themeColor="text1"/>
              </w:rPr>
              <w:t>Dates of Reporting</w:t>
            </w:r>
            <w:r w:rsidR="00140DC1" w:rsidRPr="00FD0872">
              <w:rPr>
                <w:color w:val="000000" w:themeColor="text1"/>
              </w:rPr>
              <w:t>:</w:t>
            </w:r>
            <w:r w:rsidRPr="00FD0872">
              <w:rPr>
                <w:color w:val="000000" w:themeColor="text1"/>
              </w:rPr>
              <w:t xml:space="preserve"> </w:t>
            </w:r>
            <w:r w:rsidR="001509D4" w:rsidRPr="00FD0872">
              <w:rPr>
                <w:color w:val="000000" w:themeColor="text1"/>
              </w:rPr>
              <w:t xml:space="preserve">May 1, 2018 – April </w:t>
            </w:r>
            <w:r w:rsidR="00662504" w:rsidRPr="00FD0872">
              <w:rPr>
                <w:color w:val="000000" w:themeColor="text1"/>
              </w:rPr>
              <w:t>30,</w:t>
            </w:r>
            <w:r w:rsidR="00661B88" w:rsidRPr="00FD0872">
              <w:rPr>
                <w:color w:val="000000" w:themeColor="text1"/>
              </w:rPr>
              <w:t xml:space="preserve"> 201</w:t>
            </w:r>
            <w:r w:rsidR="00691B46" w:rsidRPr="00FD0872">
              <w:rPr>
                <w:color w:val="000000" w:themeColor="text1"/>
              </w:rPr>
              <w:t>9</w:t>
            </w:r>
          </w:p>
          <w:p w:rsidR="001A3E9A" w:rsidRPr="00FD0872" w:rsidRDefault="001A3E9A" w:rsidP="001A3E9A">
            <w:pPr>
              <w:pStyle w:val="Default"/>
              <w:ind w:left="720"/>
              <w:rPr>
                <w:color w:val="000000" w:themeColor="text1"/>
              </w:rPr>
            </w:pPr>
          </w:p>
          <w:p w:rsidR="003E5211" w:rsidRPr="00FD0872" w:rsidRDefault="00890AC9" w:rsidP="001A3E9A">
            <w:pPr>
              <w:pStyle w:val="Default"/>
              <w:ind w:left="429"/>
              <w:rPr>
                <w:color w:val="000000" w:themeColor="text1"/>
              </w:rPr>
            </w:pPr>
            <w:r w:rsidRPr="00FD0872">
              <w:rPr>
                <w:color w:val="000000" w:themeColor="text1"/>
              </w:rPr>
              <w:t>The</w:t>
            </w:r>
            <w:r w:rsidR="00865352" w:rsidRPr="00FD0872">
              <w:rPr>
                <w:color w:val="000000" w:themeColor="text1"/>
              </w:rPr>
              <w:t xml:space="preserve"> project </w:t>
            </w:r>
            <w:r w:rsidR="00461484" w:rsidRPr="00FD0872">
              <w:rPr>
                <w:color w:val="000000" w:themeColor="text1"/>
              </w:rPr>
              <w:t>objectives</w:t>
            </w:r>
            <w:r w:rsidR="00B34CEA" w:rsidRPr="00FD0872">
              <w:rPr>
                <w:color w:val="000000" w:themeColor="text1"/>
              </w:rPr>
              <w:t xml:space="preserve"> </w:t>
            </w:r>
            <w:r w:rsidR="00691B46" w:rsidRPr="00FD0872">
              <w:rPr>
                <w:color w:val="000000" w:themeColor="text1"/>
              </w:rPr>
              <w:t xml:space="preserve">are listed </w:t>
            </w:r>
            <w:r w:rsidR="009A62D3" w:rsidRPr="00FD0872">
              <w:rPr>
                <w:color w:val="000000" w:themeColor="text1"/>
              </w:rPr>
              <w:t>below</w:t>
            </w:r>
            <w:r w:rsidR="00DD6824" w:rsidRPr="00FD0872">
              <w:rPr>
                <w:color w:val="000000" w:themeColor="text1"/>
              </w:rPr>
              <w:t>, and</w:t>
            </w:r>
            <w:r w:rsidR="00691B46" w:rsidRPr="00FD0872">
              <w:rPr>
                <w:color w:val="000000" w:themeColor="text1"/>
              </w:rPr>
              <w:t xml:space="preserve"> the</w:t>
            </w:r>
            <w:r w:rsidR="00DD6824" w:rsidRPr="00FD0872">
              <w:rPr>
                <w:color w:val="000000" w:themeColor="text1"/>
              </w:rPr>
              <w:t xml:space="preserve"> a</w:t>
            </w:r>
            <w:r w:rsidR="00B34CEA" w:rsidRPr="00FD0872">
              <w:rPr>
                <w:color w:val="000000" w:themeColor="text1"/>
              </w:rPr>
              <w:t>ctivity</w:t>
            </w:r>
            <w:r w:rsidR="00AE4FB3" w:rsidRPr="00FD0872">
              <w:rPr>
                <w:color w:val="000000" w:themeColor="text1"/>
              </w:rPr>
              <w:t xml:space="preserve"> and</w:t>
            </w:r>
            <w:r w:rsidRPr="00FD0872">
              <w:rPr>
                <w:color w:val="000000" w:themeColor="text1"/>
              </w:rPr>
              <w:t xml:space="preserve"> </w:t>
            </w:r>
            <w:r w:rsidR="009A62D3" w:rsidRPr="00FD0872">
              <w:rPr>
                <w:color w:val="000000" w:themeColor="text1"/>
              </w:rPr>
              <w:t xml:space="preserve">outcomes </w:t>
            </w:r>
            <w:r w:rsidR="00EE06A9" w:rsidRPr="00FD0872">
              <w:rPr>
                <w:color w:val="000000" w:themeColor="text1"/>
              </w:rPr>
              <w:t xml:space="preserve">for each objective </w:t>
            </w:r>
            <w:r w:rsidR="009A62D3" w:rsidRPr="00FD0872">
              <w:rPr>
                <w:color w:val="000000" w:themeColor="text1"/>
              </w:rPr>
              <w:t xml:space="preserve">are </w:t>
            </w:r>
            <w:r w:rsidRPr="00FD0872">
              <w:rPr>
                <w:color w:val="000000" w:themeColor="text1"/>
              </w:rPr>
              <w:t>summarized</w:t>
            </w:r>
            <w:r w:rsidR="00B34CEA" w:rsidRPr="00FD0872">
              <w:rPr>
                <w:color w:val="000000" w:themeColor="text1"/>
              </w:rPr>
              <w:t>.</w:t>
            </w:r>
            <w:r w:rsidR="00DD6824" w:rsidRPr="00FD0872">
              <w:rPr>
                <w:color w:val="000000" w:themeColor="text1"/>
              </w:rPr>
              <w:t xml:space="preserve">  </w:t>
            </w:r>
            <w:r w:rsidR="00691B46" w:rsidRPr="00FD0872">
              <w:rPr>
                <w:color w:val="000000" w:themeColor="text1"/>
              </w:rPr>
              <w:t>P</w:t>
            </w:r>
            <w:r w:rsidR="003E5211" w:rsidRPr="00FD0872">
              <w:rPr>
                <w:color w:val="000000" w:themeColor="text1"/>
              </w:rPr>
              <w:t xml:space="preserve">lease let me know if </w:t>
            </w:r>
            <w:r w:rsidR="006C3844" w:rsidRPr="00FD0872">
              <w:rPr>
                <w:color w:val="000000" w:themeColor="text1"/>
              </w:rPr>
              <w:t xml:space="preserve">additional </w:t>
            </w:r>
            <w:r w:rsidR="0085182E">
              <w:rPr>
                <w:color w:val="000000" w:themeColor="text1"/>
              </w:rPr>
              <w:t xml:space="preserve">results and </w:t>
            </w:r>
            <w:r w:rsidR="006C3844" w:rsidRPr="00FD0872">
              <w:rPr>
                <w:color w:val="000000" w:themeColor="text1"/>
              </w:rPr>
              <w:t xml:space="preserve">information </w:t>
            </w:r>
            <w:r w:rsidR="0085182E">
              <w:rPr>
                <w:color w:val="000000" w:themeColor="text1"/>
              </w:rPr>
              <w:t>are</w:t>
            </w:r>
            <w:r w:rsidR="006C3844" w:rsidRPr="00FD0872">
              <w:rPr>
                <w:color w:val="000000" w:themeColor="text1"/>
              </w:rPr>
              <w:t xml:space="preserve"> </w:t>
            </w:r>
            <w:r w:rsidR="00865352" w:rsidRPr="00FD0872">
              <w:rPr>
                <w:color w:val="000000" w:themeColor="text1"/>
              </w:rPr>
              <w:t xml:space="preserve">requested </w:t>
            </w:r>
            <w:r w:rsidR="00691B46" w:rsidRPr="00FD0872">
              <w:rPr>
                <w:color w:val="000000" w:themeColor="text1"/>
              </w:rPr>
              <w:t>beyond what is shown in this brief summary</w:t>
            </w:r>
            <w:r w:rsidR="003E5211" w:rsidRPr="00FD0872">
              <w:rPr>
                <w:color w:val="000000" w:themeColor="text1"/>
              </w:rPr>
              <w:t>.</w:t>
            </w:r>
            <w:r w:rsidR="00DD6824" w:rsidRPr="00FD0872">
              <w:rPr>
                <w:color w:val="000000" w:themeColor="text1"/>
              </w:rPr>
              <w:t xml:space="preserve">  </w:t>
            </w:r>
            <w:r w:rsidR="003E5211" w:rsidRPr="00FD0872">
              <w:rPr>
                <w:color w:val="000000" w:themeColor="text1"/>
              </w:rPr>
              <w:t>Thank you.</w:t>
            </w:r>
          </w:p>
          <w:p w:rsidR="00140DC1" w:rsidRPr="00FD0872" w:rsidRDefault="00140DC1" w:rsidP="00B34CEA">
            <w:pPr>
              <w:pStyle w:val="Default"/>
              <w:rPr>
                <w:b/>
                <w:color w:val="C00000"/>
              </w:rPr>
            </w:pPr>
          </w:p>
          <w:p w:rsidR="001A3E9A" w:rsidRPr="00FD0872" w:rsidRDefault="001A3E9A" w:rsidP="001A3E9A">
            <w:pPr>
              <w:tabs>
                <w:tab w:val="left" w:pos="720"/>
              </w:tabs>
              <w:spacing w:after="0" w:line="240" w:lineRule="auto"/>
              <w:rPr>
                <w:rFonts w:ascii="Times New Roman" w:hAnsi="Times New Roman" w:cs="Times New Roman"/>
                <w:b/>
                <w:color w:val="000000" w:themeColor="text1"/>
                <w:sz w:val="24"/>
                <w:szCs w:val="24"/>
              </w:rPr>
            </w:pPr>
            <w:r w:rsidRPr="00FD0872">
              <w:rPr>
                <w:rFonts w:ascii="Times New Roman" w:hAnsi="Times New Roman" w:cs="Times New Roman"/>
                <w:b/>
                <w:color w:val="C00000"/>
                <w:sz w:val="24"/>
                <w:szCs w:val="24"/>
              </w:rPr>
              <w:t>1</w:t>
            </w:r>
            <w:r w:rsidRPr="00FD0872">
              <w:rPr>
                <w:rFonts w:ascii="Times New Roman" w:hAnsi="Times New Roman" w:cs="Times New Roman"/>
                <w:color w:val="000000" w:themeColor="text1"/>
                <w:sz w:val="24"/>
                <w:szCs w:val="24"/>
              </w:rPr>
              <w:t xml:space="preserve">.  </w:t>
            </w:r>
            <w:r w:rsidRPr="00FD0872">
              <w:rPr>
                <w:rFonts w:ascii="Times New Roman" w:hAnsi="Times New Roman" w:cs="Times New Roman"/>
                <w:b/>
                <w:color w:val="000000" w:themeColor="text1"/>
                <w:sz w:val="24"/>
                <w:szCs w:val="24"/>
              </w:rPr>
              <w:t>Optimize Management of White Mold</w:t>
            </w:r>
          </w:p>
          <w:p w:rsidR="006A3103" w:rsidRPr="00562A5C" w:rsidRDefault="001A3E9A" w:rsidP="006A3103">
            <w:pPr>
              <w:tabs>
                <w:tab w:val="left" w:pos="720"/>
              </w:tabs>
              <w:spacing w:after="0" w:line="240" w:lineRule="auto"/>
              <w:ind w:left="69"/>
              <w:rPr>
                <w:rFonts w:ascii="Times New Roman" w:hAnsi="Times New Roman" w:cs="Times New Roman"/>
                <w:b/>
                <w:sz w:val="24"/>
                <w:szCs w:val="24"/>
              </w:rPr>
            </w:pPr>
            <w:r w:rsidRPr="00FD0872">
              <w:rPr>
                <w:rFonts w:ascii="Times New Roman" w:hAnsi="Times New Roman" w:cs="Times New Roman"/>
                <w:b/>
                <w:color w:val="000000" w:themeColor="text1"/>
                <w:sz w:val="24"/>
                <w:szCs w:val="24"/>
              </w:rPr>
              <w:t xml:space="preserve">     </w:t>
            </w:r>
            <w:r w:rsidRPr="00562A5C">
              <w:rPr>
                <w:rFonts w:ascii="Times New Roman" w:hAnsi="Times New Roman" w:cs="Times New Roman"/>
                <w:b/>
                <w:sz w:val="24"/>
                <w:szCs w:val="24"/>
              </w:rPr>
              <w:t xml:space="preserve">Goal A:   Determine the efficacy of genetic resistance, fungicides, and plant </w:t>
            </w:r>
            <w:r w:rsidR="006A3103" w:rsidRPr="00562A5C">
              <w:rPr>
                <w:rFonts w:ascii="Times New Roman" w:hAnsi="Times New Roman" w:cs="Times New Roman"/>
                <w:b/>
                <w:sz w:val="24"/>
                <w:szCs w:val="24"/>
              </w:rPr>
              <w:t xml:space="preserve">  </w:t>
            </w:r>
          </w:p>
          <w:p w:rsidR="001A3E9A" w:rsidRPr="00562A5C" w:rsidRDefault="006A3103" w:rsidP="006A3103">
            <w:pPr>
              <w:tabs>
                <w:tab w:val="left" w:pos="720"/>
              </w:tabs>
              <w:spacing w:after="0" w:line="240" w:lineRule="auto"/>
              <w:ind w:left="69"/>
              <w:rPr>
                <w:rFonts w:ascii="Times New Roman" w:hAnsi="Times New Roman" w:cs="Times New Roman"/>
                <w:b/>
                <w:sz w:val="24"/>
                <w:szCs w:val="24"/>
              </w:rPr>
            </w:pPr>
            <w:r w:rsidRPr="00562A5C">
              <w:rPr>
                <w:rFonts w:ascii="Times New Roman" w:hAnsi="Times New Roman" w:cs="Times New Roman"/>
                <w:b/>
                <w:sz w:val="24"/>
                <w:szCs w:val="24"/>
              </w:rPr>
              <w:t xml:space="preserve">                    </w:t>
            </w:r>
            <w:r w:rsidR="001A3E9A" w:rsidRPr="00562A5C">
              <w:rPr>
                <w:rFonts w:ascii="Times New Roman" w:hAnsi="Times New Roman" w:cs="Times New Roman"/>
                <w:b/>
                <w:sz w:val="24"/>
                <w:szCs w:val="24"/>
              </w:rPr>
              <w:t>population reduction for</w:t>
            </w:r>
            <w:r w:rsidRPr="00562A5C">
              <w:rPr>
                <w:rFonts w:ascii="Times New Roman" w:hAnsi="Times New Roman" w:cs="Times New Roman"/>
                <w:b/>
                <w:sz w:val="24"/>
                <w:szCs w:val="24"/>
              </w:rPr>
              <w:t xml:space="preserve"> white mold management.</w:t>
            </w:r>
          </w:p>
          <w:p w:rsidR="008D1DA5" w:rsidRPr="00FD0872" w:rsidRDefault="0085182E" w:rsidP="00A11244">
            <w:pPr>
              <w:pStyle w:val="ListParagraph"/>
              <w:numPr>
                <w:ilvl w:val="0"/>
                <w:numId w:val="4"/>
              </w:numPr>
              <w:shd w:val="clear" w:color="auto" w:fill="FFFFFF"/>
              <w:tabs>
                <w:tab w:val="left" w:pos="720"/>
              </w:tabs>
              <w:ind w:left="270" w:hanging="270"/>
              <w:rPr>
                <w:rFonts w:ascii="Times New Roman" w:eastAsia="Times New Roman" w:hAnsi="Times New Roman" w:cs="Times New Roman"/>
                <w:color w:val="222222"/>
              </w:rPr>
            </w:pPr>
            <w:r>
              <w:rPr>
                <w:rFonts w:ascii="Times New Roman" w:hAnsi="Times New Roman" w:cs="Times New Roman"/>
              </w:rPr>
              <w:t>T</w:t>
            </w:r>
            <w:r w:rsidR="006A3103" w:rsidRPr="00FD0872">
              <w:rPr>
                <w:rFonts w:ascii="Times New Roman" w:hAnsi="Times New Roman" w:cs="Times New Roman"/>
              </w:rPr>
              <w:t xml:space="preserve">hree field studies </w:t>
            </w:r>
            <w:r w:rsidR="00277D89" w:rsidRPr="00FD0872">
              <w:rPr>
                <w:rFonts w:ascii="Times New Roman" w:hAnsi="Times New Roman" w:cs="Times New Roman"/>
              </w:rPr>
              <w:t xml:space="preserve">for white mold management in soybean </w:t>
            </w:r>
            <w:r w:rsidR="006A3103" w:rsidRPr="00FD0872">
              <w:rPr>
                <w:rFonts w:ascii="Times New Roman" w:hAnsi="Times New Roman" w:cs="Times New Roman"/>
              </w:rPr>
              <w:t>were established</w:t>
            </w:r>
            <w:r w:rsidR="00277D89" w:rsidRPr="00FD0872">
              <w:rPr>
                <w:rFonts w:ascii="Times New Roman" w:hAnsi="Times New Roman" w:cs="Times New Roman"/>
              </w:rPr>
              <w:t xml:space="preserve"> </w:t>
            </w:r>
            <w:r w:rsidR="006A3103" w:rsidRPr="00FD0872">
              <w:rPr>
                <w:rFonts w:ascii="Times New Roman" w:hAnsi="Times New Roman" w:cs="Times New Roman"/>
              </w:rPr>
              <w:t>at Rosemount, MN</w:t>
            </w:r>
            <w:r w:rsidR="00277D89" w:rsidRPr="00FD0872">
              <w:rPr>
                <w:rFonts w:ascii="Times New Roman" w:hAnsi="Times New Roman" w:cs="Times New Roman"/>
              </w:rPr>
              <w:t xml:space="preserve"> in May 2018</w:t>
            </w:r>
            <w:r w:rsidR="006A3103" w:rsidRPr="00FD0872">
              <w:rPr>
                <w:rFonts w:ascii="Times New Roman" w:hAnsi="Times New Roman" w:cs="Times New Roman"/>
              </w:rPr>
              <w:t xml:space="preserve">.  The studies were </w:t>
            </w:r>
            <w:r w:rsidR="00EA2829" w:rsidRPr="00FD0872">
              <w:rPr>
                <w:rFonts w:ascii="Times New Roman" w:hAnsi="Times New Roman" w:cs="Times New Roman"/>
              </w:rPr>
              <w:t>planted</w:t>
            </w:r>
            <w:r w:rsidR="006A3103" w:rsidRPr="00FD0872">
              <w:rPr>
                <w:rFonts w:ascii="Times New Roman" w:hAnsi="Times New Roman" w:cs="Times New Roman"/>
              </w:rPr>
              <w:t xml:space="preserve"> </w:t>
            </w:r>
            <w:r w:rsidR="00277D89" w:rsidRPr="00FD0872">
              <w:rPr>
                <w:rFonts w:ascii="Times New Roman" w:hAnsi="Times New Roman" w:cs="Times New Roman"/>
              </w:rPr>
              <w:t>and</w:t>
            </w:r>
            <w:r w:rsidR="006A3103" w:rsidRPr="00FD0872">
              <w:rPr>
                <w:rFonts w:ascii="Times New Roman" w:hAnsi="Times New Roman" w:cs="Times New Roman"/>
              </w:rPr>
              <w:t xml:space="preserve"> </w:t>
            </w:r>
            <w:r w:rsidR="0002088D" w:rsidRPr="00FD0872">
              <w:rPr>
                <w:rFonts w:ascii="Times New Roman" w:hAnsi="Times New Roman" w:cs="Times New Roman"/>
              </w:rPr>
              <w:t xml:space="preserve">all experimental steps were executed </w:t>
            </w:r>
            <w:r w:rsidR="003411FD" w:rsidRPr="00FD0872">
              <w:rPr>
                <w:rFonts w:ascii="Times New Roman" w:hAnsi="Times New Roman" w:cs="Times New Roman"/>
              </w:rPr>
              <w:t>using methods that have been consistently effective in previous years.</w:t>
            </w:r>
            <w:r w:rsidR="0002088D" w:rsidRPr="00FD0872">
              <w:rPr>
                <w:rFonts w:ascii="Times New Roman" w:hAnsi="Times New Roman" w:cs="Times New Roman"/>
              </w:rPr>
              <w:t xml:space="preserve">  All </w:t>
            </w:r>
            <w:r w:rsidR="00EA2829" w:rsidRPr="00FD0872">
              <w:rPr>
                <w:rFonts w:ascii="Times New Roman" w:hAnsi="Times New Roman" w:cs="Times New Roman"/>
              </w:rPr>
              <w:t xml:space="preserve">studies </w:t>
            </w:r>
            <w:r w:rsidR="0002088D" w:rsidRPr="00FD0872">
              <w:rPr>
                <w:rFonts w:ascii="Times New Roman" w:hAnsi="Times New Roman" w:cs="Times New Roman"/>
              </w:rPr>
              <w:t>were</w:t>
            </w:r>
            <w:r w:rsidR="00EA2829" w:rsidRPr="00FD0872">
              <w:rPr>
                <w:rFonts w:ascii="Times New Roman" w:hAnsi="Times New Roman" w:cs="Times New Roman"/>
              </w:rPr>
              <w:t xml:space="preserve"> </w:t>
            </w:r>
            <w:r w:rsidR="003411FD" w:rsidRPr="00FD0872">
              <w:rPr>
                <w:rFonts w:ascii="Times New Roman" w:hAnsi="Times New Roman" w:cs="Times New Roman"/>
              </w:rPr>
              <w:t xml:space="preserve">inoculated with the white mold pathogen at early flowering stages and </w:t>
            </w:r>
            <w:r w:rsidR="00EA2829" w:rsidRPr="00FD0872">
              <w:rPr>
                <w:rFonts w:ascii="Times New Roman" w:hAnsi="Times New Roman" w:cs="Times New Roman"/>
              </w:rPr>
              <w:t>irrigated twice per week in July and August to supplement natural rainfall</w:t>
            </w:r>
            <w:r w:rsidR="003411FD" w:rsidRPr="00FD0872">
              <w:rPr>
                <w:rFonts w:ascii="Times New Roman" w:hAnsi="Times New Roman" w:cs="Times New Roman"/>
              </w:rPr>
              <w:t>.</w:t>
            </w:r>
            <w:r w:rsidR="0002088D" w:rsidRPr="00FD0872">
              <w:rPr>
                <w:rFonts w:ascii="Times New Roman" w:hAnsi="Times New Roman" w:cs="Times New Roman"/>
              </w:rPr>
              <w:t xml:space="preserve"> </w:t>
            </w:r>
            <w:r w:rsidR="006A3103" w:rsidRPr="00FD0872">
              <w:rPr>
                <w:rFonts w:ascii="Times New Roman" w:hAnsi="Times New Roman" w:cs="Times New Roman"/>
              </w:rPr>
              <w:t xml:space="preserve"> </w:t>
            </w:r>
            <w:r w:rsidR="00277D89" w:rsidRPr="00FD0872">
              <w:rPr>
                <w:rFonts w:ascii="Times New Roman" w:hAnsi="Times New Roman" w:cs="Times New Roman"/>
              </w:rPr>
              <w:t>It was disappointing that v</w:t>
            </w:r>
            <w:r w:rsidR="006A3103" w:rsidRPr="00FD0872">
              <w:rPr>
                <w:rFonts w:ascii="Times New Roman" w:hAnsi="Times New Roman" w:cs="Times New Roman"/>
              </w:rPr>
              <w:t xml:space="preserve">ery little white mold </w:t>
            </w:r>
            <w:r w:rsidR="00277D89" w:rsidRPr="00FD0872">
              <w:rPr>
                <w:rFonts w:ascii="Times New Roman" w:hAnsi="Times New Roman" w:cs="Times New Roman"/>
              </w:rPr>
              <w:t>d</w:t>
            </w:r>
            <w:r w:rsidR="006A3103" w:rsidRPr="00FD0872">
              <w:rPr>
                <w:rFonts w:ascii="Times New Roman" w:hAnsi="Times New Roman" w:cs="Times New Roman"/>
              </w:rPr>
              <w:t>eveloped in the plots</w:t>
            </w:r>
            <w:r w:rsidR="00277D89" w:rsidRPr="00FD0872">
              <w:rPr>
                <w:rFonts w:ascii="Times New Roman" w:hAnsi="Times New Roman" w:cs="Times New Roman"/>
              </w:rPr>
              <w:t>.  This is the lowest level of white mold that has developed in our soybean white mold studies over the</w:t>
            </w:r>
            <w:r w:rsidR="00EA2829" w:rsidRPr="00FD0872">
              <w:rPr>
                <w:rFonts w:ascii="Times New Roman" w:hAnsi="Times New Roman" w:cs="Times New Roman"/>
              </w:rPr>
              <w:t xml:space="preserve"> past 10 years. We</w:t>
            </w:r>
            <w:r w:rsidR="00277D89" w:rsidRPr="00FD0872">
              <w:rPr>
                <w:rFonts w:ascii="Times New Roman" w:hAnsi="Times New Roman" w:cs="Times New Roman"/>
              </w:rPr>
              <w:t xml:space="preserve"> do not know why white mold failed to</w:t>
            </w:r>
            <w:r w:rsidR="003411FD" w:rsidRPr="00FD0872">
              <w:rPr>
                <w:rFonts w:ascii="Times New Roman" w:hAnsi="Times New Roman" w:cs="Times New Roman"/>
              </w:rPr>
              <w:t xml:space="preserve"> develop, but we suspect that </w:t>
            </w:r>
            <w:r w:rsidR="00277D89" w:rsidRPr="00FD0872">
              <w:rPr>
                <w:rFonts w:ascii="Times New Roman" w:hAnsi="Times New Roman" w:cs="Times New Roman"/>
              </w:rPr>
              <w:t xml:space="preserve">temperatures were too warm </w:t>
            </w:r>
            <w:r w:rsidR="00865352" w:rsidRPr="00FD0872">
              <w:rPr>
                <w:rFonts w:ascii="Times New Roman" w:hAnsi="Times New Roman" w:cs="Times New Roman"/>
              </w:rPr>
              <w:t>when</w:t>
            </w:r>
            <w:r w:rsidR="003411FD" w:rsidRPr="00FD0872">
              <w:rPr>
                <w:rFonts w:ascii="Times New Roman" w:hAnsi="Times New Roman" w:cs="Times New Roman"/>
              </w:rPr>
              <w:t xml:space="preserve"> the plants were most susceptible to infection</w:t>
            </w:r>
            <w:r w:rsidR="00277D89" w:rsidRPr="00FD0872">
              <w:rPr>
                <w:rFonts w:ascii="Times New Roman" w:hAnsi="Times New Roman" w:cs="Times New Roman"/>
              </w:rPr>
              <w:t>.</w:t>
            </w:r>
            <w:r w:rsidR="0064307E" w:rsidRPr="00FD0872">
              <w:rPr>
                <w:rFonts w:ascii="Times New Roman" w:hAnsi="Times New Roman" w:cs="Times New Roman"/>
              </w:rPr>
              <w:t xml:space="preserve">  </w:t>
            </w:r>
            <w:r w:rsidR="008D1DA5" w:rsidRPr="00FD0872">
              <w:rPr>
                <w:rFonts w:ascii="Times New Roman" w:eastAsia="Times New Roman" w:hAnsi="Times New Roman" w:cs="Times New Roman"/>
              </w:rPr>
              <w:t xml:space="preserve">  The treatments </w:t>
            </w:r>
            <w:r w:rsidR="008D1DA5" w:rsidRPr="00FD0872">
              <w:rPr>
                <w:rFonts w:ascii="Times New Roman" w:eastAsia="Times New Roman" w:hAnsi="Times New Roman" w:cs="Times New Roman"/>
                <w:color w:val="222222"/>
              </w:rPr>
              <w:t>of reduced row spacing (15” rows), higher population rate (</w:t>
            </w:r>
            <w:r w:rsidR="007056C2" w:rsidRPr="00FD0872">
              <w:rPr>
                <w:rFonts w:ascii="Times New Roman" w:eastAsia="Times New Roman" w:hAnsi="Times New Roman" w:cs="Times New Roman"/>
                <w:color w:val="222222"/>
              </w:rPr>
              <w:t xml:space="preserve">170,000 seeds/Ac), and </w:t>
            </w:r>
            <w:r w:rsidR="008D1DA5" w:rsidRPr="00FD0872">
              <w:rPr>
                <w:rFonts w:ascii="Times New Roman" w:eastAsia="Times New Roman" w:hAnsi="Times New Roman" w:cs="Times New Roman"/>
                <w:color w:val="222222"/>
              </w:rPr>
              <w:t>fungicide applications at R1 and R3 all increased the percent of green leaves retained at R7. The white mold pressure was low in these fields a</w:t>
            </w:r>
            <w:r w:rsidR="008D4641">
              <w:rPr>
                <w:rFonts w:ascii="Times New Roman" w:eastAsia="Times New Roman" w:hAnsi="Times New Roman" w:cs="Times New Roman"/>
                <w:color w:val="222222"/>
              </w:rPr>
              <w:t>nd none of the treatments had a measurable</w:t>
            </w:r>
            <w:r w:rsidR="008D1DA5" w:rsidRPr="00FD0872">
              <w:rPr>
                <w:rFonts w:ascii="Times New Roman" w:eastAsia="Times New Roman" w:hAnsi="Times New Roman" w:cs="Times New Roman"/>
                <w:color w:val="222222"/>
              </w:rPr>
              <w:t xml:space="preserve"> effect on disease.  Yield was </w:t>
            </w:r>
            <w:r w:rsidR="008D4641">
              <w:rPr>
                <w:rFonts w:ascii="Times New Roman" w:eastAsia="Times New Roman" w:hAnsi="Times New Roman" w:cs="Times New Roman"/>
                <w:color w:val="222222"/>
              </w:rPr>
              <w:t>higher</w:t>
            </w:r>
            <w:r w:rsidR="008D1DA5" w:rsidRPr="00FD0872">
              <w:rPr>
                <w:rFonts w:ascii="Times New Roman" w:eastAsia="Times New Roman" w:hAnsi="Times New Roman" w:cs="Times New Roman"/>
                <w:color w:val="222222"/>
              </w:rPr>
              <w:t xml:space="preserve"> with 30” row spacing and higher population rates (170,000 seeds/Ac).  </w:t>
            </w:r>
            <w:r w:rsidRPr="00FD0872">
              <w:rPr>
                <w:rFonts w:ascii="Times New Roman" w:eastAsia="Times New Roman" w:hAnsi="Times New Roman" w:cs="Times New Roman"/>
                <w:color w:val="222222"/>
              </w:rPr>
              <w:t>Some fungicide treatments</w:t>
            </w:r>
            <w:r>
              <w:rPr>
                <w:rFonts w:ascii="Times New Roman" w:eastAsia="Times New Roman" w:hAnsi="Times New Roman" w:cs="Times New Roman"/>
                <w:color w:val="222222"/>
              </w:rPr>
              <w:t xml:space="preserve"> </w:t>
            </w:r>
            <w:r w:rsidRPr="00FD0872">
              <w:rPr>
                <w:rFonts w:ascii="Times New Roman" w:eastAsia="Times New Roman" w:hAnsi="Times New Roman" w:cs="Times New Roman"/>
                <w:color w:val="222222"/>
              </w:rPr>
              <w:t xml:space="preserve">on a susceptible cultivar </w:t>
            </w:r>
            <w:r>
              <w:rPr>
                <w:rFonts w:ascii="Times New Roman" w:eastAsia="Times New Roman" w:hAnsi="Times New Roman" w:cs="Times New Roman"/>
                <w:color w:val="222222"/>
              </w:rPr>
              <w:t xml:space="preserve">inconsistently </w:t>
            </w:r>
            <w:r w:rsidRPr="00FD0872">
              <w:rPr>
                <w:rFonts w:ascii="Times New Roman" w:eastAsia="Times New Roman" w:hAnsi="Times New Roman" w:cs="Times New Roman"/>
                <w:color w:val="222222"/>
              </w:rPr>
              <w:t>increased yields</w:t>
            </w:r>
            <w:r>
              <w:rPr>
                <w:rFonts w:ascii="Times New Roman" w:eastAsia="Times New Roman" w:hAnsi="Times New Roman" w:cs="Times New Roman"/>
                <w:color w:val="222222"/>
              </w:rPr>
              <w:t xml:space="preserve"> across the trials </w:t>
            </w:r>
            <w:r w:rsidRPr="00FD0872">
              <w:rPr>
                <w:rFonts w:ascii="Times New Roman" w:eastAsia="Times New Roman" w:hAnsi="Times New Roman" w:cs="Times New Roman"/>
                <w:color w:val="222222"/>
              </w:rPr>
              <w:t xml:space="preserve">under </w:t>
            </w:r>
            <w:r>
              <w:rPr>
                <w:rFonts w:ascii="Times New Roman" w:eastAsia="Times New Roman" w:hAnsi="Times New Roman" w:cs="Times New Roman"/>
                <w:color w:val="222222"/>
              </w:rPr>
              <w:t xml:space="preserve">the </w:t>
            </w:r>
            <w:r w:rsidRPr="00FD0872">
              <w:rPr>
                <w:rFonts w:ascii="Times New Roman" w:eastAsia="Times New Roman" w:hAnsi="Times New Roman" w:cs="Times New Roman"/>
                <w:color w:val="222222"/>
              </w:rPr>
              <w:t>low disease pressure.</w:t>
            </w:r>
            <w:r>
              <w:rPr>
                <w:rFonts w:ascii="Times New Roman" w:eastAsia="Times New Roman" w:hAnsi="Times New Roman" w:cs="Times New Roman"/>
                <w:color w:val="222222"/>
              </w:rPr>
              <w:t xml:space="preserve"> </w:t>
            </w:r>
            <w:r w:rsidR="008D1DA5" w:rsidRPr="00FD0872">
              <w:rPr>
                <w:rFonts w:ascii="Times New Roman" w:eastAsia="Times New Roman" w:hAnsi="Times New Roman" w:cs="Times New Roman"/>
                <w:color w:val="222222"/>
              </w:rPr>
              <w:t xml:space="preserve">There were not any differences in yield between the susceptible, moderately resistant, and resistant cultivars under low </w:t>
            </w:r>
            <w:r>
              <w:rPr>
                <w:rFonts w:ascii="Times New Roman" w:eastAsia="Times New Roman" w:hAnsi="Times New Roman" w:cs="Times New Roman"/>
                <w:color w:val="222222"/>
              </w:rPr>
              <w:t xml:space="preserve">white mold </w:t>
            </w:r>
            <w:r w:rsidR="008D1DA5" w:rsidRPr="00FD0872">
              <w:rPr>
                <w:rFonts w:ascii="Times New Roman" w:eastAsia="Times New Roman" w:hAnsi="Times New Roman" w:cs="Times New Roman"/>
                <w:color w:val="222222"/>
              </w:rPr>
              <w:t xml:space="preserve">disease pressure.    </w:t>
            </w:r>
          </w:p>
          <w:p w:rsidR="008D1DA5" w:rsidRPr="008D4641" w:rsidRDefault="009B4958" w:rsidP="008D4641">
            <w:pPr>
              <w:pStyle w:val="ListParagraph"/>
              <w:numPr>
                <w:ilvl w:val="0"/>
                <w:numId w:val="4"/>
              </w:numPr>
              <w:tabs>
                <w:tab w:val="left" w:pos="339"/>
              </w:tabs>
              <w:ind w:left="249"/>
              <w:rPr>
                <w:rFonts w:ascii="Times New Roman" w:hAnsi="Times New Roman" w:cs="Times New Roman"/>
              </w:rPr>
            </w:pPr>
            <w:r w:rsidRPr="008D4641">
              <w:rPr>
                <w:rFonts w:ascii="Times New Roman" w:hAnsi="Times New Roman" w:cs="Times New Roman"/>
              </w:rPr>
              <w:t>We conducted studies</w:t>
            </w:r>
            <w:r w:rsidR="008D1DA5" w:rsidRPr="008D4641">
              <w:rPr>
                <w:rFonts w:ascii="Times New Roman" w:hAnsi="Times New Roman" w:cs="Times New Roman"/>
              </w:rPr>
              <w:t xml:space="preserve"> on methods to evaluate resistant</w:t>
            </w:r>
            <w:r w:rsidR="0085182E">
              <w:rPr>
                <w:rFonts w:ascii="Times New Roman" w:hAnsi="Times New Roman" w:cs="Times New Roman"/>
              </w:rPr>
              <w:t xml:space="preserve"> </w:t>
            </w:r>
            <w:r w:rsidR="008D1DA5" w:rsidRPr="008D4641">
              <w:rPr>
                <w:rFonts w:ascii="Times New Roman" w:hAnsi="Times New Roman" w:cs="Times New Roman"/>
              </w:rPr>
              <w:t xml:space="preserve">to white mold </w:t>
            </w:r>
            <w:r w:rsidR="0085182E">
              <w:rPr>
                <w:rFonts w:ascii="Times New Roman" w:hAnsi="Times New Roman" w:cs="Times New Roman"/>
              </w:rPr>
              <w:t>among soybean entries</w:t>
            </w:r>
            <w:r w:rsidR="0085182E" w:rsidRPr="008D4641">
              <w:rPr>
                <w:rFonts w:ascii="Times New Roman" w:hAnsi="Times New Roman" w:cs="Times New Roman"/>
              </w:rPr>
              <w:t xml:space="preserve"> </w:t>
            </w:r>
            <w:r w:rsidR="008D1DA5" w:rsidRPr="008D4641">
              <w:rPr>
                <w:rFonts w:ascii="Times New Roman" w:hAnsi="Times New Roman" w:cs="Times New Roman"/>
              </w:rPr>
              <w:t>in the greenhouse.</w:t>
            </w:r>
            <w:r w:rsidRPr="008D4641">
              <w:rPr>
                <w:rFonts w:ascii="Times New Roman" w:hAnsi="Times New Roman" w:cs="Times New Roman"/>
              </w:rPr>
              <w:t xml:space="preserve"> </w:t>
            </w:r>
            <w:r w:rsidR="0085182E">
              <w:rPr>
                <w:rFonts w:ascii="Times New Roman" w:eastAsia="Times New Roman" w:hAnsi="Times New Roman" w:cs="Times New Roman"/>
                <w:color w:val="222222"/>
              </w:rPr>
              <w:t>T</w:t>
            </w:r>
            <w:r w:rsidR="0085182E" w:rsidRPr="008D4641">
              <w:rPr>
                <w:rFonts w:ascii="Times New Roman" w:eastAsia="Times New Roman" w:hAnsi="Times New Roman" w:cs="Times New Roman"/>
                <w:color w:val="222222"/>
              </w:rPr>
              <w:t xml:space="preserve">he type of inoculation method used </w:t>
            </w:r>
            <w:r w:rsidR="0085182E">
              <w:rPr>
                <w:rFonts w:ascii="Times New Roman" w:eastAsia="Times New Roman" w:hAnsi="Times New Roman" w:cs="Times New Roman"/>
                <w:color w:val="222222"/>
              </w:rPr>
              <w:t xml:space="preserve">had an influence </w:t>
            </w:r>
            <w:r w:rsidR="0085182E" w:rsidRPr="008D4641">
              <w:rPr>
                <w:rFonts w:ascii="Times New Roman" w:eastAsia="Times New Roman" w:hAnsi="Times New Roman" w:cs="Times New Roman"/>
                <w:color w:val="222222"/>
              </w:rPr>
              <w:t>disease severity.  Adding inoculum at the top of the plant resulted in severe leaf and stem infections that can kill plants.  Spray inoculation methods at the side of the plants results in leaf infections</w:t>
            </w:r>
            <w:r w:rsidR="0085182E">
              <w:rPr>
                <w:rFonts w:ascii="Times New Roman" w:eastAsia="Times New Roman" w:hAnsi="Times New Roman" w:cs="Times New Roman"/>
                <w:color w:val="222222"/>
              </w:rPr>
              <w:t>, where i</w:t>
            </w:r>
            <w:r w:rsidR="0085182E" w:rsidRPr="008D4641">
              <w:rPr>
                <w:rFonts w:ascii="Times New Roman" w:eastAsia="Times New Roman" w:hAnsi="Times New Roman" w:cs="Times New Roman"/>
                <w:color w:val="222222"/>
              </w:rPr>
              <w:t xml:space="preserve">nfected leaves may drop off, resulting in mild to moderate disease.  </w:t>
            </w:r>
            <w:r w:rsidR="0085182E">
              <w:rPr>
                <w:rFonts w:ascii="Times New Roman" w:eastAsia="Times New Roman" w:hAnsi="Times New Roman" w:cs="Times New Roman"/>
                <w:color w:val="222222"/>
              </w:rPr>
              <w:t xml:space="preserve">Using the best method, </w:t>
            </w:r>
            <w:r w:rsidR="008D1DA5" w:rsidRPr="008D4641">
              <w:rPr>
                <w:rFonts w:ascii="Times New Roman" w:eastAsia="Times New Roman" w:hAnsi="Times New Roman" w:cs="Times New Roman"/>
                <w:color w:val="222222"/>
              </w:rPr>
              <w:t>a resistant cultivar had significantly less disease (67% of plants infected on leaves and stems) than a susceptible cultivar (100% infection with plant death)</w:t>
            </w:r>
            <w:r w:rsidR="0085182E">
              <w:rPr>
                <w:rFonts w:ascii="Times New Roman" w:eastAsia="Times New Roman" w:hAnsi="Times New Roman" w:cs="Times New Roman"/>
                <w:color w:val="222222"/>
              </w:rPr>
              <w:t xml:space="preserve"> u</w:t>
            </w:r>
            <w:r w:rsidR="0085182E" w:rsidRPr="008D4641">
              <w:rPr>
                <w:rFonts w:ascii="Times New Roman" w:eastAsia="Times New Roman" w:hAnsi="Times New Roman" w:cs="Times New Roman"/>
                <w:color w:val="222222"/>
              </w:rPr>
              <w:t>nder high white mold pressure in the greenhouse</w:t>
            </w:r>
            <w:r w:rsidR="008D1DA5" w:rsidRPr="008D4641">
              <w:rPr>
                <w:rFonts w:ascii="Times New Roman" w:eastAsia="Times New Roman" w:hAnsi="Times New Roman" w:cs="Times New Roman"/>
                <w:color w:val="222222"/>
              </w:rPr>
              <w:t xml:space="preserve">. </w:t>
            </w:r>
          </w:p>
          <w:p w:rsidR="009B4958" w:rsidRPr="00FD0872" w:rsidRDefault="009B4958" w:rsidP="009B4958">
            <w:pPr>
              <w:pStyle w:val="ListParagraph"/>
              <w:tabs>
                <w:tab w:val="left" w:pos="720"/>
              </w:tabs>
              <w:rPr>
                <w:rFonts w:ascii="Times New Roman" w:hAnsi="Times New Roman" w:cs="Times New Roman"/>
              </w:rPr>
            </w:pPr>
          </w:p>
          <w:p w:rsidR="001A3E9A" w:rsidRPr="00FD0872" w:rsidRDefault="001A3E9A" w:rsidP="00865352">
            <w:pPr>
              <w:tabs>
                <w:tab w:val="left" w:pos="720"/>
              </w:tabs>
              <w:spacing w:after="0" w:line="240" w:lineRule="auto"/>
              <w:ind w:left="1260" w:right="-290" w:hanging="1260"/>
              <w:rPr>
                <w:rFonts w:ascii="Times New Roman" w:hAnsi="Times New Roman" w:cs="Times New Roman"/>
                <w:color w:val="000000" w:themeColor="text1"/>
                <w:sz w:val="24"/>
                <w:szCs w:val="24"/>
              </w:rPr>
            </w:pPr>
            <w:r w:rsidRPr="00FD0872">
              <w:rPr>
                <w:rFonts w:ascii="Times New Roman" w:hAnsi="Times New Roman" w:cs="Times New Roman"/>
                <w:color w:val="C00000"/>
                <w:sz w:val="24"/>
                <w:szCs w:val="24"/>
              </w:rPr>
              <w:t xml:space="preserve"> </w:t>
            </w:r>
            <w:r w:rsidRPr="00FD0872">
              <w:rPr>
                <w:rFonts w:ascii="Times New Roman" w:hAnsi="Times New Roman" w:cs="Times New Roman"/>
                <w:b/>
                <w:color w:val="C00000"/>
                <w:sz w:val="24"/>
                <w:szCs w:val="24"/>
              </w:rPr>
              <w:t xml:space="preserve">    </w:t>
            </w:r>
            <w:r w:rsidRPr="00FD0872">
              <w:rPr>
                <w:rFonts w:ascii="Times New Roman" w:hAnsi="Times New Roman" w:cs="Times New Roman"/>
                <w:b/>
                <w:color w:val="000000" w:themeColor="text1"/>
                <w:sz w:val="24"/>
                <w:szCs w:val="24"/>
              </w:rPr>
              <w:t>Goal B</w:t>
            </w:r>
            <w:r w:rsidRPr="00FD0872">
              <w:rPr>
                <w:rFonts w:ascii="Times New Roman" w:hAnsi="Times New Roman" w:cs="Times New Roman"/>
                <w:color w:val="000000" w:themeColor="text1"/>
                <w:sz w:val="24"/>
                <w:szCs w:val="24"/>
              </w:rPr>
              <w:t>:   Determine the value of Contans</w:t>
            </w:r>
            <w:r w:rsidR="00D46369" w:rsidRPr="00FD0872">
              <w:rPr>
                <w:rFonts w:ascii="Times New Roman" w:hAnsi="Times New Roman" w:cs="Times New Roman"/>
                <w:color w:val="000000" w:themeColor="text1"/>
                <w:sz w:val="24"/>
                <w:szCs w:val="24"/>
              </w:rPr>
              <w:t>®</w:t>
            </w:r>
            <w:r w:rsidRPr="00FD0872">
              <w:rPr>
                <w:rFonts w:ascii="Times New Roman" w:hAnsi="Times New Roman" w:cs="Times New Roman"/>
                <w:color w:val="000000" w:themeColor="text1"/>
                <w:sz w:val="24"/>
                <w:szCs w:val="24"/>
              </w:rPr>
              <w:t xml:space="preserve"> for white mold management in on-farm trials.</w:t>
            </w:r>
          </w:p>
          <w:p w:rsidR="002748D3" w:rsidRPr="00FD0872" w:rsidRDefault="00644A51" w:rsidP="008D4641">
            <w:pPr>
              <w:spacing w:after="0" w:line="240" w:lineRule="auto"/>
              <w:ind w:left="249" w:firstLine="361"/>
              <w:rPr>
                <w:rFonts w:ascii="Times New Roman" w:hAnsi="Times New Roman" w:cs="Times New Roman"/>
                <w:color w:val="000000" w:themeColor="text1"/>
                <w:sz w:val="24"/>
                <w:szCs w:val="24"/>
              </w:rPr>
            </w:pPr>
            <w:r w:rsidRPr="00FD0872">
              <w:rPr>
                <w:rFonts w:ascii="Times New Roman" w:hAnsi="Times New Roman" w:cs="Times New Roman"/>
                <w:b/>
                <w:bCs/>
                <w:color w:val="000000" w:themeColor="text1"/>
                <w:sz w:val="24"/>
                <w:szCs w:val="24"/>
              </w:rPr>
              <w:t xml:space="preserve"> </w:t>
            </w:r>
            <w:r w:rsidR="005C5EDC">
              <w:rPr>
                <w:rFonts w:ascii="Times New Roman" w:hAnsi="Times New Roman" w:cs="Times New Roman"/>
                <w:bCs/>
                <w:color w:val="000000" w:themeColor="text1"/>
                <w:sz w:val="24"/>
                <w:szCs w:val="24"/>
              </w:rPr>
              <w:t>Six</w:t>
            </w:r>
            <w:r w:rsidR="0048353C" w:rsidRPr="00FD0872">
              <w:rPr>
                <w:rFonts w:ascii="Times New Roman" w:hAnsi="Times New Roman" w:cs="Times New Roman"/>
                <w:color w:val="000000" w:themeColor="text1"/>
                <w:sz w:val="24"/>
                <w:szCs w:val="24"/>
              </w:rPr>
              <w:t xml:space="preserve"> fields</w:t>
            </w:r>
            <w:r w:rsidR="00461484" w:rsidRPr="00FD0872">
              <w:rPr>
                <w:rFonts w:ascii="Times New Roman" w:hAnsi="Times New Roman" w:cs="Times New Roman"/>
                <w:color w:val="000000" w:themeColor="text1"/>
                <w:sz w:val="24"/>
                <w:szCs w:val="24"/>
              </w:rPr>
              <w:t xml:space="preserve"> in southern/central MN were</w:t>
            </w:r>
            <w:r w:rsidR="00377A1D" w:rsidRPr="00FD0872">
              <w:rPr>
                <w:rFonts w:ascii="Times New Roman" w:hAnsi="Times New Roman" w:cs="Times New Roman"/>
                <w:color w:val="000000" w:themeColor="text1"/>
                <w:sz w:val="24"/>
                <w:szCs w:val="24"/>
              </w:rPr>
              <w:t xml:space="preserve"> included in this study, where </w:t>
            </w:r>
            <w:r w:rsidR="0048353C" w:rsidRPr="00FD0872">
              <w:rPr>
                <w:rFonts w:ascii="Times New Roman" w:hAnsi="Times New Roman" w:cs="Times New Roman"/>
                <w:color w:val="000000" w:themeColor="text1"/>
                <w:sz w:val="24"/>
                <w:szCs w:val="24"/>
              </w:rPr>
              <w:t>Contans was applied to 3 replicate strips (45-200 acre total application area) in the spring at 2 lb/acre</w:t>
            </w:r>
            <w:r w:rsidR="002748D3" w:rsidRPr="00FD0872">
              <w:rPr>
                <w:rFonts w:ascii="Times New Roman" w:hAnsi="Times New Roman" w:cs="Times New Roman"/>
                <w:color w:val="000000" w:themeColor="text1"/>
                <w:sz w:val="24"/>
                <w:szCs w:val="24"/>
              </w:rPr>
              <w:t xml:space="preserve">. </w:t>
            </w:r>
            <w:r w:rsidRPr="00FD0872">
              <w:rPr>
                <w:rFonts w:ascii="Times New Roman" w:hAnsi="Times New Roman" w:cs="Times New Roman"/>
                <w:color w:val="000000" w:themeColor="text1"/>
                <w:sz w:val="24"/>
                <w:szCs w:val="24"/>
              </w:rPr>
              <w:lastRenderedPageBreak/>
              <w:t xml:space="preserve">Challenges with the project included </w:t>
            </w:r>
            <w:r w:rsidR="0048353C" w:rsidRPr="00FD0872">
              <w:rPr>
                <w:rFonts w:ascii="Times New Roman" w:hAnsi="Times New Roman" w:cs="Times New Roman"/>
                <w:color w:val="000000" w:themeColor="text1"/>
                <w:sz w:val="24"/>
                <w:szCs w:val="24"/>
              </w:rPr>
              <w:t xml:space="preserve">rain delays for application, timing of product delivery, </w:t>
            </w:r>
            <w:r w:rsidR="00377A1D" w:rsidRPr="00FD0872">
              <w:rPr>
                <w:rFonts w:ascii="Times New Roman" w:hAnsi="Times New Roman" w:cs="Times New Roman"/>
                <w:color w:val="000000" w:themeColor="text1"/>
                <w:sz w:val="24"/>
                <w:szCs w:val="24"/>
              </w:rPr>
              <w:t xml:space="preserve">and </w:t>
            </w:r>
            <w:r w:rsidR="0048353C" w:rsidRPr="00FD0872">
              <w:rPr>
                <w:rFonts w:ascii="Times New Roman" w:hAnsi="Times New Roman" w:cs="Times New Roman"/>
                <w:color w:val="000000" w:themeColor="text1"/>
                <w:sz w:val="24"/>
                <w:szCs w:val="24"/>
              </w:rPr>
              <w:t>low levels of white mold</w:t>
            </w:r>
            <w:r w:rsidRPr="00FD0872">
              <w:rPr>
                <w:rFonts w:ascii="Times New Roman" w:hAnsi="Times New Roman" w:cs="Times New Roman"/>
                <w:color w:val="000000" w:themeColor="text1"/>
                <w:sz w:val="24"/>
                <w:szCs w:val="24"/>
              </w:rPr>
              <w:t xml:space="preserve"> that developed in the fields</w:t>
            </w:r>
            <w:r w:rsidR="002748D3" w:rsidRPr="00FD0872">
              <w:rPr>
                <w:rFonts w:ascii="Times New Roman" w:hAnsi="Times New Roman" w:cs="Times New Roman"/>
                <w:color w:val="000000" w:themeColor="text1"/>
                <w:sz w:val="24"/>
                <w:szCs w:val="24"/>
              </w:rPr>
              <w:t xml:space="preserve">.  </w:t>
            </w:r>
            <w:r w:rsidRPr="00FD0872">
              <w:rPr>
                <w:rFonts w:ascii="Times New Roman" w:hAnsi="Times New Roman" w:cs="Times New Roman"/>
                <w:bCs/>
                <w:color w:val="000000" w:themeColor="text1"/>
                <w:sz w:val="24"/>
                <w:szCs w:val="24"/>
              </w:rPr>
              <w:t>The results were i</w:t>
            </w:r>
            <w:r w:rsidR="002748D3" w:rsidRPr="00FD0872">
              <w:rPr>
                <w:rFonts w:ascii="Times New Roman" w:hAnsi="Times New Roman" w:cs="Times New Roman"/>
                <w:color w:val="000000" w:themeColor="text1"/>
                <w:sz w:val="24"/>
                <w:szCs w:val="24"/>
              </w:rPr>
              <w:t>nconclusive overall</w:t>
            </w:r>
            <w:r w:rsidR="00377A1D" w:rsidRPr="00FD0872">
              <w:rPr>
                <w:rFonts w:ascii="Times New Roman" w:hAnsi="Times New Roman" w:cs="Times New Roman"/>
                <w:color w:val="000000" w:themeColor="text1"/>
                <w:sz w:val="24"/>
                <w:szCs w:val="24"/>
              </w:rPr>
              <w:t xml:space="preserve"> due to the low levels of white mold</w:t>
            </w:r>
            <w:r w:rsidR="00865352" w:rsidRPr="00FD0872">
              <w:rPr>
                <w:rFonts w:ascii="Times New Roman" w:hAnsi="Times New Roman" w:cs="Times New Roman"/>
                <w:color w:val="000000" w:themeColor="text1"/>
                <w:sz w:val="24"/>
                <w:szCs w:val="24"/>
              </w:rPr>
              <w:t xml:space="preserve"> that developed</w:t>
            </w:r>
            <w:r w:rsidRPr="00FD0872">
              <w:rPr>
                <w:rFonts w:ascii="Times New Roman" w:hAnsi="Times New Roman" w:cs="Times New Roman"/>
                <w:color w:val="000000" w:themeColor="text1"/>
                <w:sz w:val="24"/>
                <w:szCs w:val="24"/>
              </w:rPr>
              <w:t xml:space="preserve">. Four of the locations had little to no white mold develop. </w:t>
            </w:r>
            <w:r w:rsidR="002748D3" w:rsidRPr="00FD0872">
              <w:rPr>
                <w:rFonts w:ascii="Times New Roman" w:hAnsi="Times New Roman" w:cs="Times New Roman"/>
                <w:color w:val="000000" w:themeColor="text1"/>
                <w:sz w:val="24"/>
                <w:szCs w:val="24"/>
              </w:rPr>
              <w:t xml:space="preserve"> Two locations had </w:t>
            </w:r>
            <w:r w:rsidR="00377A1D" w:rsidRPr="00FD0872">
              <w:rPr>
                <w:rFonts w:ascii="Times New Roman" w:hAnsi="Times New Roman" w:cs="Times New Roman"/>
                <w:color w:val="000000" w:themeColor="text1"/>
                <w:sz w:val="24"/>
                <w:szCs w:val="24"/>
              </w:rPr>
              <w:t xml:space="preserve">low to </w:t>
            </w:r>
            <w:r w:rsidR="002748D3" w:rsidRPr="00FD0872">
              <w:rPr>
                <w:rFonts w:ascii="Times New Roman" w:hAnsi="Times New Roman" w:cs="Times New Roman"/>
                <w:color w:val="000000" w:themeColor="text1"/>
                <w:sz w:val="24"/>
                <w:szCs w:val="24"/>
              </w:rPr>
              <w:t xml:space="preserve">moderate levels of white mold. One </w:t>
            </w:r>
            <w:r w:rsidR="00865352" w:rsidRPr="00FD0872">
              <w:rPr>
                <w:rFonts w:ascii="Times New Roman" w:hAnsi="Times New Roman" w:cs="Times New Roman"/>
                <w:color w:val="000000" w:themeColor="text1"/>
                <w:sz w:val="24"/>
                <w:szCs w:val="24"/>
              </w:rPr>
              <w:t xml:space="preserve">of those </w:t>
            </w:r>
            <w:r w:rsidR="002748D3" w:rsidRPr="00FD0872">
              <w:rPr>
                <w:rFonts w:ascii="Times New Roman" w:hAnsi="Times New Roman" w:cs="Times New Roman"/>
                <w:color w:val="000000" w:themeColor="text1"/>
                <w:sz w:val="24"/>
                <w:szCs w:val="24"/>
              </w:rPr>
              <w:t>yielded 1.8 bu/ac more in Contans strips; the other @3 bu/ac more in Contans strips</w:t>
            </w:r>
            <w:r w:rsidR="005C5EDC">
              <w:rPr>
                <w:rFonts w:ascii="Times New Roman" w:hAnsi="Times New Roman" w:cs="Times New Roman"/>
                <w:color w:val="000000" w:themeColor="text1"/>
                <w:sz w:val="24"/>
                <w:szCs w:val="24"/>
              </w:rPr>
              <w:t>; but more effect on yield was not expected due to the overall low severity of white mold in those fields.</w:t>
            </w:r>
          </w:p>
          <w:p w:rsidR="00377A1D" w:rsidRPr="00FD0872" w:rsidRDefault="00377A1D" w:rsidP="00644A51">
            <w:pPr>
              <w:spacing w:after="0" w:line="240" w:lineRule="auto"/>
              <w:ind w:left="700" w:hanging="90"/>
              <w:rPr>
                <w:rFonts w:ascii="Times New Roman" w:hAnsi="Times New Roman" w:cs="Times New Roman"/>
                <w:color w:val="000000" w:themeColor="text1"/>
                <w:sz w:val="24"/>
                <w:szCs w:val="24"/>
              </w:rPr>
            </w:pPr>
          </w:p>
          <w:p w:rsidR="001A3E9A" w:rsidRDefault="001A3E9A" w:rsidP="001A3E9A">
            <w:pPr>
              <w:tabs>
                <w:tab w:val="left" w:pos="720"/>
              </w:tabs>
              <w:spacing w:after="0" w:line="240" w:lineRule="auto"/>
              <w:rPr>
                <w:rFonts w:ascii="Times New Roman" w:hAnsi="Times New Roman" w:cs="Times New Roman"/>
                <w:b/>
                <w:color w:val="000000" w:themeColor="text1"/>
                <w:sz w:val="24"/>
                <w:szCs w:val="24"/>
              </w:rPr>
            </w:pPr>
            <w:r w:rsidRPr="00FD0872">
              <w:rPr>
                <w:rFonts w:ascii="Times New Roman" w:hAnsi="Times New Roman" w:cs="Times New Roman"/>
                <w:b/>
                <w:color w:val="000000" w:themeColor="text1"/>
                <w:sz w:val="24"/>
                <w:szCs w:val="24"/>
              </w:rPr>
              <w:t>2</w:t>
            </w:r>
            <w:r w:rsidRPr="00FD0872">
              <w:rPr>
                <w:rFonts w:ascii="Times New Roman" w:hAnsi="Times New Roman" w:cs="Times New Roman"/>
                <w:color w:val="000000" w:themeColor="text1"/>
                <w:sz w:val="24"/>
                <w:szCs w:val="24"/>
              </w:rPr>
              <w:t xml:space="preserve">. </w:t>
            </w:r>
            <w:r w:rsidRPr="00FD0872">
              <w:rPr>
                <w:rFonts w:ascii="Times New Roman" w:hAnsi="Times New Roman" w:cs="Times New Roman"/>
                <w:b/>
                <w:color w:val="000000" w:themeColor="text1"/>
                <w:sz w:val="24"/>
                <w:szCs w:val="24"/>
              </w:rPr>
              <w:t xml:space="preserve"> Optimize management and risk analysis for BSR and SDS.</w:t>
            </w:r>
          </w:p>
          <w:p w:rsidR="00562A5C" w:rsidRPr="00FD0872" w:rsidRDefault="00562A5C" w:rsidP="001A3E9A">
            <w:pPr>
              <w:tabs>
                <w:tab w:val="left" w:pos="720"/>
              </w:tabs>
              <w:spacing w:after="0" w:line="240" w:lineRule="auto"/>
              <w:rPr>
                <w:rFonts w:ascii="Times New Roman" w:hAnsi="Times New Roman" w:cs="Times New Roman"/>
                <w:b/>
                <w:i/>
                <w:color w:val="000000" w:themeColor="text1"/>
                <w:sz w:val="24"/>
                <w:szCs w:val="24"/>
              </w:rPr>
            </w:pPr>
          </w:p>
          <w:p w:rsidR="001A3E9A" w:rsidRPr="00FD0872" w:rsidRDefault="001A3E9A" w:rsidP="001A3E9A">
            <w:pPr>
              <w:tabs>
                <w:tab w:val="left" w:pos="720"/>
              </w:tabs>
              <w:spacing w:after="0" w:line="240" w:lineRule="auto"/>
              <w:rPr>
                <w:rFonts w:ascii="Times New Roman" w:hAnsi="Times New Roman" w:cs="Times New Roman"/>
                <w:b/>
                <w:sz w:val="24"/>
                <w:szCs w:val="24"/>
              </w:rPr>
            </w:pPr>
            <w:r w:rsidRPr="00FD0872">
              <w:rPr>
                <w:rFonts w:ascii="Times New Roman" w:hAnsi="Times New Roman" w:cs="Times New Roman"/>
                <w:color w:val="000000" w:themeColor="text1"/>
                <w:sz w:val="24"/>
                <w:szCs w:val="24"/>
              </w:rPr>
              <w:t xml:space="preserve">     </w:t>
            </w:r>
            <w:r w:rsidRPr="00FD0872">
              <w:rPr>
                <w:rFonts w:ascii="Times New Roman" w:hAnsi="Times New Roman" w:cs="Times New Roman"/>
                <w:b/>
                <w:color w:val="000000" w:themeColor="text1"/>
                <w:sz w:val="24"/>
                <w:szCs w:val="24"/>
              </w:rPr>
              <w:t>Goal A:</w:t>
            </w:r>
            <w:r w:rsidRPr="00FD0872">
              <w:rPr>
                <w:rFonts w:ascii="Times New Roman" w:hAnsi="Times New Roman" w:cs="Times New Roman"/>
                <w:color w:val="000000" w:themeColor="text1"/>
                <w:sz w:val="24"/>
                <w:szCs w:val="24"/>
              </w:rPr>
              <w:t xml:space="preserve">   </w:t>
            </w:r>
            <w:r w:rsidRPr="00FD0872">
              <w:rPr>
                <w:rFonts w:ascii="Times New Roman" w:hAnsi="Times New Roman" w:cs="Times New Roman"/>
                <w:b/>
                <w:sz w:val="24"/>
                <w:szCs w:val="24"/>
              </w:rPr>
              <w:t xml:space="preserve">Determine the effects of pathogen populations in soil and crop residues   </w:t>
            </w:r>
          </w:p>
          <w:p w:rsidR="001A3E9A" w:rsidRPr="00FD0872" w:rsidRDefault="001A3E9A" w:rsidP="001A3E9A">
            <w:pPr>
              <w:tabs>
                <w:tab w:val="left" w:pos="720"/>
              </w:tabs>
              <w:spacing w:after="0" w:line="240" w:lineRule="auto"/>
              <w:rPr>
                <w:rFonts w:ascii="Times New Roman" w:hAnsi="Times New Roman" w:cs="Times New Roman"/>
                <w:b/>
                <w:sz w:val="24"/>
                <w:szCs w:val="24"/>
              </w:rPr>
            </w:pPr>
            <w:r w:rsidRPr="00FD0872">
              <w:rPr>
                <w:rFonts w:ascii="Times New Roman" w:hAnsi="Times New Roman" w:cs="Times New Roman"/>
                <w:b/>
                <w:sz w:val="24"/>
                <w:szCs w:val="24"/>
              </w:rPr>
              <w:t xml:space="preserve">                     on development and management of BSR and SDS.</w:t>
            </w:r>
          </w:p>
          <w:p w:rsidR="002C3D74" w:rsidRPr="00FD0872" w:rsidRDefault="00644A51" w:rsidP="008D4641">
            <w:pPr>
              <w:pStyle w:val="ListParagraph"/>
              <w:numPr>
                <w:ilvl w:val="0"/>
                <w:numId w:val="4"/>
              </w:numPr>
              <w:tabs>
                <w:tab w:val="left" w:pos="360"/>
              </w:tabs>
              <w:ind w:left="339"/>
              <w:rPr>
                <w:rFonts w:ascii="Times New Roman" w:hAnsi="Times New Roman" w:cs="Times New Roman"/>
                <w:color w:val="0070C0"/>
              </w:rPr>
            </w:pPr>
            <w:r w:rsidRPr="008D4641">
              <w:rPr>
                <w:rFonts w:ascii="Times New Roman" w:hAnsi="Times New Roman" w:cs="Times New Roman"/>
              </w:rPr>
              <w:t xml:space="preserve">We collected soil </w:t>
            </w:r>
            <w:r w:rsidR="002C3D74" w:rsidRPr="008D4641">
              <w:rPr>
                <w:rFonts w:ascii="Times New Roman" w:hAnsi="Times New Roman" w:cs="Times New Roman"/>
              </w:rPr>
              <w:t xml:space="preserve">samples </w:t>
            </w:r>
            <w:r w:rsidRPr="008D4641">
              <w:rPr>
                <w:rFonts w:ascii="Times New Roman" w:hAnsi="Times New Roman" w:cs="Times New Roman"/>
              </w:rPr>
              <w:t xml:space="preserve">from 20 </w:t>
            </w:r>
            <w:r w:rsidR="002C3D74" w:rsidRPr="008D4641">
              <w:rPr>
                <w:rFonts w:ascii="Times New Roman" w:hAnsi="Times New Roman" w:cs="Times New Roman"/>
              </w:rPr>
              <w:t>plots in Waseca</w:t>
            </w:r>
            <w:r w:rsidRPr="008D4641">
              <w:rPr>
                <w:rFonts w:ascii="Times New Roman" w:hAnsi="Times New Roman" w:cs="Times New Roman"/>
              </w:rPr>
              <w:t xml:space="preserve"> that have been part of a long-term rotation study. These</w:t>
            </w:r>
            <w:r w:rsidR="008D4641" w:rsidRPr="008D4641">
              <w:rPr>
                <w:rFonts w:ascii="Times New Roman" w:hAnsi="Times New Roman" w:cs="Times New Roman"/>
              </w:rPr>
              <w:t xml:space="preserve"> rotation</w:t>
            </w:r>
            <w:r w:rsidRPr="008D4641">
              <w:rPr>
                <w:rFonts w:ascii="Times New Roman" w:hAnsi="Times New Roman" w:cs="Times New Roman"/>
              </w:rPr>
              <w:t xml:space="preserve"> plots </w:t>
            </w:r>
            <w:r w:rsidR="00490359">
              <w:rPr>
                <w:rFonts w:ascii="Times New Roman" w:hAnsi="Times New Roman" w:cs="Times New Roman"/>
              </w:rPr>
              <w:t xml:space="preserve">have </w:t>
            </w:r>
            <w:r w:rsidRPr="008D4641">
              <w:rPr>
                <w:rFonts w:ascii="Times New Roman" w:hAnsi="Times New Roman" w:cs="Times New Roman"/>
              </w:rPr>
              <w:t xml:space="preserve">had different lengths of times between soybean crops.  </w:t>
            </w:r>
            <w:r w:rsidR="002C3D74" w:rsidRPr="008D4641">
              <w:rPr>
                <w:rFonts w:ascii="Times New Roman" w:hAnsi="Times New Roman" w:cs="Times New Roman"/>
              </w:rPr>
              <w:t xml:space="preserve"> </w:t>
            </w:r>
            <w:r w:rsidRPr="008D4641">
              <w:rPr>
                <w:rFonts w:ascii="Times New Roman" w:hAnsi="Times New Roman" w:cs="Times New Roman"/>
              </w:rPr>
              <w:t xml:space="preserve">The samples were collected </w:t>
            </w:r>
            <w:r w:rsidR="002C3D74" w:rsidRPr="008D4641">
              <w:rPr>
                <w:rFonts w:ascii="Times New Roman" w:hAnsi="Times New Roman" w:cs="Times New Roman"/>
              </w:rPr>
              <w:t xml:space="preserve">in October to study BSR pathogen populations in soil. </w:t>
            </w:r>
            <w:r w:rsidR="008D4641" w:rsidRPr="00FD0872">
              <w:rPr>
                <w:rFonts w:ascii="Times New Roman" w:eastAsia="Times New Roman" w:hAnsi="Times New Roman" w:cs="Times New Roman"/>
                <w:color w:val="222222"/>
              </w:rPr>
              <w:t>The causal pathogen of BSR can be detected and quantified in soil after soybean harvest.  In heavy textured soil, 10</w:t>
            </w:r>
            <w:r w:rsidR="008D4641" w:rsidRPr="00FD0872">
              <w:rPr>
                <w:rFonts w:ascii="Times New Roman" w:eastAsia="Times New Roman" w:hAnsi="Times New Roman" w:cs="Times New Roman"/>
                <w:color w:val="222222"/>
                <w:vertAlign w:val="superscript"/>
              </w:rPr>
              <w:t>6</w:t>
            </w:r>
            <w:r w:rsidR="008D4641" w:rsidRPr="00FD0872">
              <w:rPr>
                <w:rFonts w:ascii="Times New Roman" w:eastAsia="Times New Roman" w:hAnsi="Times New Roman" w:cs="Times New Roman"/>
                <w:color w:val="222222"/>
              </w:rPr>
              <w:t xml:space="preserve"> conidia/g of soil or greater can be detected.  Lower concentrations, 10</w:t>
            </w:r>
            <w:r w:rsidR="008D4641" w:rsidRPr="00FD0872">
              <w:rPr>
                <w:rFonts w:ascii="Times New Roman" w:eastAsia="Times New Roman" w:hAnsi="Times New Roman" w:cs="Times New Roman"/>
                <w:color w:val="222222"/>
                <w:vertAlign w:val="superscript"/>
              </w:rPr>
              <w:t>4</w:t>
            </w:r>
            <w:r w:rsidR="008D4641" w:rsidRPr="00FD0872">
              <w:rPr>
                <w:rFonts w:ascii="Times New Roman" w:eastAsia="Times New Roman" w:hAnsi="Times New Roman" w:cs="Times New Roman"/>
                <w:color w:val="222222"/>
              </w:rPr>
              <w:t xml:space="preserve"> conidia/g of soil, can be detected in lighter textured soils.  At these concentrations in a field, BSR symptoms on susceptible cultivars could be severe. </w:t>
            </w:r>
            <w:r w:rsidR="00490359">
              <w:rPr>
                <w:rFonts w:ascii="Times New Roman" w:eastAsia="Times New Roman" w:hAnsi="Times New Roman" w:cs="Times New Roman"/>
                <w:color w:val="222222"/>
              </w:rPr>
              <w:t>In</w:t>
            </w:r>
            <w:r w:rsidR="008D4641" w:rsidRPr="008D4641">
              <w:rPr>
                <w:rFonts w:ascii="Times New Roman" w:eastAsia="Times New Roman" w:hAnsi="Times New Roman" w:cs="Times New Roman"/>
                <w:color w:val="222222"/>
              </w:rPr>
              <w:t xml:space="preserve"> our analysis, </w:t>
            </w:r>
            <w:r w:rsidRPr="008D4641">
              <w:rPr>
                <w:rFonts w:ascii="Times New Roman" w:hAnsi="Times New Roman" w:cs="Times New Roman"/>
              </w:rPr>
              <w:t>and</w:t>
            </w:r>
            <w:r w:rsidR="00B12710">
              <w:rPr>
                <w:rFonts w:ascii="Times New Roman" w:hAnsi="Times New Roman" w:cs="Times New Roman"/>
              </w:rPr>
              <w:t xml:space="preserve"> although BSR was common in the pl</w:t>
            </w:r>
            <w:r w:rsidR="00865352" w:rsidRPr="008D4641">
              <w:rPr>
                <w:rFonts w:ascii="Times New Roman" w:hAnsi="Times New Roman" w:cs="Times New Roman"/>
              </w:rPr>
              <w:t>o</w:t>
            </w:r>
            <w:r w:rsidR="00B12710">
              <w:rPr>
                <w:rFonts w:ascii="Times New Roman" w:hAnsi="Times New Roman" w:cs="Times New Roman"/>
              </w:rPr>
              <w:t>t</w:t>
            </w:r>
            <w:r w:rsidR="00865352" w:rsidRPr="008D4641">
              <w:rPr>
                <w:rFonts w:ascii="Times New Roman" w:hAnsi="Times New Roman" w:cs="Times New Roman"/>
              </w:rPr>
              <w:t>s,</w:t>
            </w:r>
            <w:r w:rsidRPr="008D4641">
              <w:rPr>
                <w:rFonts w:ascii="Times New Roman" w:hAnsi="Times New Roman" w:cs="Times New Roman"/>
              </w:rPr>
              <w:t xml:space="preserve"> it appears to date that most of the samples have low populations of the pathogen, </w:t>
            </w:r>
            <w:r w:rsidR="00B12710">
              <w:rPr>
                <w:rFonts w:ascii="Times New Roman" w:hAnsi="Times New Roman" w:cs="Times New Roman"/>
              </w:rPr>
              <w:t xml:space="preserve">perhaps </w:t>
            </w:r>
            <w:r w:rsidRPr="008D4641">
              <w:rPr>
                <w:rFonts w:ascii="Times New Roman" w:hAnsi="Times New Roman" w:cs="Times New Roman"/>
              </w:rPr>
              <w:t xml:space="preserve">below the limit of detection for the laboratory assay that we are using. </w:t>
            </w:r>
            <w:r w:rsidRPr="00FD0872">
              <w:rPr>
                <w:rFonts w:ascii="Times New Roman" w:hAnsi="Times New Roman" w:cs="Times New Roman"/>
                <w:color w:val="0070C0"/>
              </w:rPr>
              <w:t xml:space="preserve"> </w:t>
            </w:r>
          </w:p>
          <w:p w:rsidR="007717E0" w:rsidRPr="00FD0872" w:rsidRDefault="007717E0" w:rsidP="008D4641">
            <w:pPr>
              <w:shd w:val="clear" w:color="auto" w:fill="FFFFFF"/>
              <w:tabs>
                <w:tab w:val="left" w:pos="360"/>
              </w:tabs>
              <w:spacing w:after="0" w:line="240" w:lineRule="auto"/>
              <w:ind w:left="339" w:firstLine="429"/>
              <w:rPr>
                <w:rFonts w:ascii="Times New Roman" w:eastAsia="Times New Roman" w:hAnsi="Times New Roman" w:cs="Times New Roman"/>
                <w:i/>
                <w:color w:val="222222"/>
                <w:sz w:val="24"/>
                <w:szCs w:val="24"/>
              </w:rPr>
            </w:pPr>
            <w:r w:rsidRPr="00FD0872">
              <w:rPr>
                <w:rFonts w:ascii="Times New Roman" w:eastAsia="Times New Roman" w:hAnsi="Times New Roman" w:cs="Times New Roman"/>
                <w:color w:val="222222"/>
                <w:sz w:val="24"/>
                <w:szCs w:val="24"/>
              </w:rPr>
              <w:t xml:space="preserve">Several commonly used fungicides were tested against the two main types of the BSR pathogen </w:t>
            </w:r>
            <w:r w:rsidRPr="008D4641">
              <w:rPr>
                <w:rFonts w:ascii="Times New Roman" w:eastAsia="Times New Roman" w:hAnsi="Times New Roman" w:cs="Times New Roman"/>
                <w:i/>
                <w:color w:val="222222"/>
                <w:sz w:val="24"/>
                <w:szCs w:val="24"/>
              </w:rPr>
              <w:t xml:space="preserve">Cadophora gregata </w:t>
            </w:r>
            <w:r w:rsidRPr="00FD0872">
              <w:rPr>
                <w:rFonts w:ascii="Times New Roman" w:eastAsia="Times New Roman" w:hAnsi="Times New Roman" w:cs="Times New Roman"/>
                <w:color w:val="222222"/>
                <w:sz w:val="24"/>
                <w:szCs w:val="24"/>
              </w:rPr>
              <w:t>(types A and B) in plate studies.  Ethaboxam at typical concentrations had no effect on eit</w:t>
            </w:r>
            <w:r w:rsidR="00490359">
              <w:rPr>
                <w:rFonts w:ascii="Times New Roman" w:eastAsia="Times New Roman" w:hAnsi="Times New Roman" w:cs="Times New Roman"/>
                <w:color w:val="222222"/>
                <w:sz w:val="24"/>
                <w:szCs w:val="24"/>
              </w:rPr>
              <w:t xml:space="preserve">her genotype.  </w:t>
            </w:r>
            <w:proofErr w:type="spellStart"/>
            <w:r w:rsidR="00490359">
              <w:rPr>
                <w:rFonts w:ascii="Times New Roman" w:eastAsia="Times New Roman" w:hAnsi="Times New Roman" w:cs="Times New Roman"/>
                <w:color w:val="222222"/>
                <w:sz w:val="24"/>
                <w:szCs w:val="24"/>
              </w:rPr>
              <w:t>Pyraclostrobin</w:t>
            </w:r>
            <w:proofErr w:type="spellEnd"/>
            <w:r w:rsidR="00490359">
              <w:rPr>
                <w:rFonts w:ascii="Times New Roman" w:eastAsia="Times New Roman" w:hAnsi="Times New Roman" w:cs="Times New Roman"/>
                <w:color w:val="222222"/>
                <w:sz w:val="24"/>
                <w:szCs w:val="24"/>
              </w:rPr>
              <w:t xml:space="preserve">, </w:t>
            </w:r>
            <w:proofErr w:type="spellStart"/>
            <w:r w:rsidR="00490359">
              <w:rPr>
                <w:rFonts w:ascii="Times New Roman" w:eastAsia="Times New Roman" w:hAnsi="Times New Roman" w:cs="Times New Roman"/>
                <w:color w:val="222222"/>
                <w:sz w:val="24"/>
                <w:szCs w:val="24"/>
              </w:rPr>
              <w:t>a</w:t>
            </w:r>
            <w:r w:rsidRPr="00FD0872">
              <w:rPr>
                <w:rFonts w:ascii="Times New Roman" w:eastAsia="Times New Roman" w:hAnsi="Times New Roman" w:cs="Times New Roman"/>
                <w:color w:val="222222"/>
                <w:sz w:val="24"/>
                <w:szCs w:val="24"/>
              </w:rPr>
              <w:t>zoxystrobin</w:t>
            </w:r>
            <w:proofErr w:type="spellEnd"/>
            <w:r w:rsidRPr="00FD0872">
              <w:rPr>
                <w:rFonts w:ascii="Times New Roman" w:eastAsia="Times New Roman" w:hAnsi="Times New Roman" w:cs="Times New Roman"/>
                <w:color w:val="222222"/>
                <w:sz w:val="24"/>
                <w:szCs w:val="24"/>
              </w:rPr>
              <w:t xml:space="preserve">, and </w:t>
            </w:r>
            <w:proofErr w:type="spellStart"/>
            <w:r w:rsidRPr="00FD0872">
              <w:rPr>
                <w:rFonts w:ascii="Times New Roman" w:eastAsia="Times New Roman" w:hAnsi="Times New Roman" w:cs="Times New Roman"/>
                <w:color w:val="222222"/>
                <w:sz w:val="24"/>
                <w:szCs w:val="24"/>
              </w:rPr>
              <w:t>Clariva</w:t>
            </w:r>
            <w:proofErr w:type="spellEnd"/>
            <w:r w:rsidRPr="00FD0872">
              <w:rPr>
                <w:rFonts w:ascii="Times New Roman" w:eastAsia="Times New Roman" w:hAnsi="Times New Roman" w:cs="Times New Roman"/>
                <w:color w:val="222222"/>
                <w:sz w:val="24"/>
                <w:szCs w:val="24"/>
              </w:rPr>
              <w:t xml:space="preserve"> </w:t>
            </w:r>
            <w:proofErr w:type="spellStart"/>
            <w:r w:rsidRPr="00FD0872">
              <w:rPr>
                <w:rFonts w:ascii="Times New Roman" w:eastAsia="Times New Roman" w:hAnsi="Times New Roman" w:cs="Times New Roman"/>
                <w:color w:val="222222"/>
                <w:sz w:val="24"/>
                <w:szCs w:val="24"/>
              </w:rPr>
              <w:t>CruiserMaxx</w:t>
            </w:r>
            <w:proofErr w:type="spellEnd"/>
            <w:r w:rsidRPr="00FD0872">
              <w:rPr>
                <w:rFonts w:ascii="Times New Roman" w:eastAsia="Times New Roman" w:hAnsi="Times New Roman" w:cs="Times New Roman"/>
                <w:color w:val="222222"/>
                <w:sz w:val="24"/>
                <w:szCs w:val="24"/>
              </w:rPr>
              <w:t xml:space="preserve"> </w:t>
            </w:r>
            <w:proofErr w:type="spellStart"/>
            <w:r w:rsidRPr="00FD0872">
              <w:rPr>
                <w:rFonts w:ascii="Times New Roman" w:eastAsia="Times New Roman" w:hAnsi="Times New Roman" w:cs="Times New Roman"/>
                <w:color w:val="222222"/>
                <w:sz w:val="24"/>
                <w:szCs w:val="24"/>
              </w:rPr>
              <w:t>Vibrance</w:t>
            </w:r>
            <w:proofErr w:type="spellEnd"/>
            <w:r w:rsidRPr="00FD0872">
              <w:rPr>
                <w:rFonts w:ascii="Times New Roman" w:eastAsia="Times New Roman" w:hAnsi="Times New Roman" w:cs="Times New Roman"/>
                <w:color w:val="222222"/>
                <w:sz w:val="24"/>
                <w:szCs w:val="24"/>
              </w:rPr>
              <w:t xml:space="preserve"> showed ability to reduce growth of both genotypes.  Type B was slightly more sensitive to these three fungicides</w:t>
            </w:r>
            <w:r w:rsidR="00490359">
              <w:rPr>
                <w:rFonts w:ascii="Times New Roman" w:eastAsia="Times New Roman" w:hAnsi="Times New Roman" w:cs="Times New Roman"/>
                <w:color w:val="222222"/>
                <w:sz w:val="24"/>
                <w:szCs w:val="24"/>
              </w:rPr>
              <w:t xml:space="preserve"> than type A</w:t>
            </w:r>
            <w:r w:rsidRPr="00FD0872">
              <w:rPr>
                <w:rFonts w:ascii="Times New Roman" w:eastAsia="Times New Roman" w:hAnsi="Times New Roman" w:cs="Times New Roman"/>
                <w:color w:val="222222"/>
                <w:sz w:val="24"/>
                <w:szCs w:val="24"/>
              </w:rPr>
              <w:t>, but evidence is still lacking to indicate that see</w:t>
            </w:r>
            <w:r w:rsidR="001C0A29">
              <w:rPr>
                <w:rFonts w:ascii="Times New Roman" w:eastAsia="Times New Roman" w:hAnsi="Times New Roman" w:cs="Times New Roman"/>
                <w:color w:val="222222"/>
                <w:sz w:val="24"/>
                <w:szCs w:val="24"/>
              </w:rPr>
              <w:t>d treatments can be effective for</w:t>
            </w:r>
            <w:r w:rsidRPr="00FD0872">
              <w:rPr>
                <w:rFonts w:ascii="Times New Roman" w:eastAsia="Times New Roman" w:hAnsi="Times New Roman" w:cs="Times New Roman"/>
                <w:color w:val="222222"/>
                <w:sz w:val="24"/>
                <w:szCs w:val="24"/>
              </w:rPr>
              <w:t xml:space="preserve"> </w:t>
            </w:r>
            <w:r w:rsidR="00490359">
              <w:rPr>
                <w:rFonts w:ascii="Times New Roman" w:eastAsia="Times New Roman" w:hAnsi="Times New Roman" w:cs="Times New Roman"/>
                <w:color w:val="222222"/>
                <w:sz w:val="24"/>
                <w:szCs w:val="24"/>
              </w:rPr>
              <w:t>managing</w:t>
            </w:r>
            <w:r w:rsidRPr="00FD0872">
              <w:rPr>
                <w:rFonts w:ascii="Times New Roman" w:eastAsia="Times New Roman" w:hAnsi="Times New Roman" w:cs="Times New Roman"/>
                <w:color w:val="222222"/>
                <w:sz w:val="24"/>
                <w:szCs w:val="24"/>
              </w:rPr>
              <w:t xml:space="preserve"> BSR.</w:t>
            </w:r>
          </w:p>
          <w:p w:rsidR="009227E3" w:rsidRPr="00562A5C" w:rsidRDefault="00B12710" w:rsidP="00036062">
            <w:pPr>
              <w:pStyle w:val="ListParagraph"/>
              <w:numPr>
                <w:ilvl w:val="0"/>
                <w:numId w:val="4"/>
              </w:numPr>
              <w:tabs>
                <w:tab w:val="left" w:pos="360"/>
              </w:tabs>
              <w:ind w:left="339"/>
              <w:rPr>
                <w:rFonts w:ascii="Times New Roman" w:hAnsi="Times New Roman" w:cs="Times New Roman"/>
                <w:b/>
              </w:rPr>
            </w:pPr>
            <w:r w:rsidRPr="00B12710">
              <w:rPr>
                <w:rFonts w:ascii="Times New Roman" w:hAnsi="Times New Roman" w:cs="Times New Roman"/>
              </w:rPr>
              <w:t>S</w:t>
            </w:r>
            <w:r w:rsidR="00A5644C" w:rsidRPr="00B12710">
              <w:rPr>
                <w:rFonts w:ascii="Times New Roman" w:hAnsi="Times New Roman" w:cs="Times New Roman"/>
              </w:rPr>
              <w:t xml:space="preserve">tudies were established in Rosemount and Waseca, MN </w:t>
            </w:r>
            <w:r w:rsidRPr="00B12710">
              <w:rPr>
                <w:rFonts w:ascii="Times New Roman" w:hAnsi="Times New Roman" w:cs="Times New Roman"/>
              </w:rPr>
              <w:t xml:space="preserve">in May 2018 </w:t>
            </w:r>
            <w:r w:rsidR="00A5644C" w:rsidRPr="00B12710">
              <w:rPr>
                <w:rFonts w:ascii="Times New Roman" w:hAnsi="Times New Roman" w:cs="Times New Roman"/>
              </w:rPr>
              <w:t xml:space="preserve">to determine the effects of pathogen populations and soil organic matter on development of SDS. </w:t>
            </w:r>
            <w:r w:rsidR="00FE03DF" w:rsidRPr="00B12710">
              <w:rPr>
                <w:rFonts w:ascii="Times New Roman" w:hAnsi="Times New Roman" w:cs="Times New Roman"/>
              </w:rPr>
              <w:t>SDS developed to moderate sever</w:t>
            </w:r>
            <w:r w:rsidR="00865352" w:rsidRPr="00B12710">
              <w:rPr>
                <w:rFonts w:ascii="Times New Roman" w:hAnsi="Times New Roman" w:cs="Times New Roman"/>
              </w:rPr>
              <w:t>ity and incidence levels based</w:t>
            </w:r>
            <w:r w:rsidR="00FE03DF" w:rsidRPr="00B12710">
              <w:rPr>
                <w:rFonts w:ascii="Times New Roman" w:hAnsi="Times New Roman" w:cs="Times New Roman"/>
              </w:rPr>
              <w:t xml:space="preserve"> at the Waseca field locat</w:t>
            </w:r>
            <w:r w:rsidR="00644A51" w:rsidRPr="00B12710">
              <w:rPr>
                <w:rFonts w:ascii="Times New Roman" w:hAnsi="Times New Roman" w:cs="Times New Roman"/>
              </w:rPr>
              <w:t xml:space="preserve">ion.  </w:t>
            </w:r>
            <w:r w:rsidR="00461484" w:rsidRPr="00B12710">
              <w:rPr>
                <w:rFonts w:ascii="Times New Roman" w:hAnsi="Times New Roman" w:cs="Times New Roman"/>
              </w:rPr>
              <w:t>Additional</w:t>
            </w:r>
            <w:r w:rsidR="0064307E" w:rsidRPr="00B12710">
              <w:rPr>
                <w:rFonts w:ascii="Times New Roman" w:hAnsi="Times New Roman" w:cs="Times New Roman"/>
              </w:rPr>
              <w:t xml:space="preserve"> analysis has been completed, and the results</w:t>
            </w:r>
            <w:r w:rsidR="00644A51" w:rsidRPr="00B12710">
              <w:rPr>
                <w:rFonts w:ascii="Times New Roman" w:hAnsi="Times New Roman" w:cs="Times New Roman"/>
              </w:rPr>
              <w:t xml:space="preserve"> </w:t>
            </w:r>
            <w:r w:rsidR="0064307E" w:rsidRPr="00B12710">
              <w:rPr>
                <w:rFonts w:ascii="Times New Roman" w:hAnsi="Times New Roman" w:cs="Times New Roman"/>
              </w:rPr>
              <w:t xml:space="preserve">confirm </w:t>
            </w:r>
            <w:r w:rsidR="00377A1D" w:rsidRPr="00B12710">
              <w:rPr>
                <w:rFonts w:ascii="Times New Roman" w:hAnsi="Times New Roman" w:cs="Times New Roman"/>
              </w:rPr>
              <w:t xml:space="preserve">that SDS </w:t>
            </w:r>
            <w:r w:rsidR="00461484" w:rsidRPr="00B12710">
              <w:rPr>
                <w:rFonts w:ascii="Times New Roman" w:hAnsi="Times New Roman" w:cs="Times New Roman"/>
              </w:rPr>
              <w:t>developed</w:t>
            </w:r>
            <w:r w:rsidR="00644A51" w:rsidRPr="00B12710">
              <w:rPr>
                <w:rFonts w:ascii="Times New Roman" w:hAnsi="Times New Roman" w:cs="Times New Roman"/>
              </w:rPr>
              <w:t xml:space="preserve"> </w:t>
            </w:r>
            <w:r w:rsidR="00461484" w:rsidRPr="00B12710">
              <w:rPr>
                <w:rFonts w:ascii="Times New Roman" w:hAnsi="Times New Roman" w:cs="Times New Roman"/>
              </w:rPr>
              <w:t xml:space="preserve">based on </w:t>
            </w:r>
            <w:r w:rsidR="00644A51" w:rsidRPr="00B12710">
              <w:rPr>
                <w:rFonts w:ascii="Times New Roman" w:hAnsi="Times New Roman" w:cs="Times New Roman"/>
              </w:rPr>
              <w:t xml:space="preserve">the population of the fungal pathogen </w:t>
            </w:r>
            <w:r w:rsidR="00644A51" w:rsidRPr="00B12710">
              <w:rPr>
                <w:rFonts w:ascii="Times New Roman" w:hAnsi="Times New Roman" w:cs="Times New Roman"/>
                <w:i/>
              </w:rPr>
              <w:t>Fusarium virguliforme</w:t>
            </w:r>
            <w:r w:rsidR="0064307E" w:rsidRPr="00B12710">
              <w:rPr>
                <w:rFonts w:ascii="Times New Roman" w:hAnsi="Times New Roman" w:cs="Times New Roman"/>
              </w:rPr>
              <w:t xml:space="preserve"> in the soil</w:t>
            </w:r>
            <w:r w:rsidR="001C0A29">
              <w:rPr>
                <w:rFonts w:ascii="Times New Roman" w:hAnsi="Times New Roman" w:cs="Times New Roman"/>
              </w:rPr>
              <w:t>.</w:t>
            </w:r>
            <w:r w:rsidR="00644A51" w:rsidRPr="00B12710">
              <w:rPr>
                <w:rFonts w:ascii="Times New Roman" w:hAnsi="Times New Roman" w:cs="Times New Roman"/>
              </w:rPr>
              <w:t xml:space="preserve"> This is the first time this has been shown in field studies to our knowledge.  </w:t>
            </w:r>
            <w:r w:rsidRPr="00B12710">
              <w:rPr>
                <w:rFonts w:ascii="Times New Roman" w:eastAsia="Times New Roman" w:hAnsi="Times New Roman" w:cs="Times New Roman"/>
              </w:rPr>
              <w:t xml:space="preserve">The results suggest </w:t>
            </w:r>
            <w:r w:rsidR="00CB0188">
              <w:rPr>
                <w:rFonts w:ascii="Times New Roman" w:eastAsia="Times New Roman" w:hAnsi="Times New Roman" w:cs="Times New Roman"/>
              </w:rPr>
              <w:t xml:space="preserve">(again) </w:t>
            </w:r>
            <w:r w:rsidRPr="00B12710">
              <w:rPr>
                <w:rFonts w:ascii="Times New Roman" w:eastAsia="Times New Roman" w:hAnsi="Times New Roman" w:cs="Times New Roman"/>
              </w:rPr>
              <w:t xml:space="preserve">that using a resistant variety </w:t>
            </w:r>
            <w:r w:rsidR="00CB0188">
              <w:rPr>
                <w:rFonts w:ascii="Times New Roman" w:eastAsia="Times New Roman" w:hAnsi="Times New Roman" w:cs="Times New Roman"/>
              </w:rPr>
              <w:t>is very important aspect for</w:t>
            </w:r>
            <w:r w:rsidRPr="00B12710">
              <w:rPr>
                <w:rFonts w:ascii="Times New Roman" w:eastAsia="Times New Roman" w:hAnsi="Times New Roman" w:cs="Times New Roman"/>
              </w:rPr>
              <w:t xml:space="preserve"> managing SDS regardless of the pathogen </w:t>
            </w:r>
            <w:r w:rsidR="001C0A29" w:rsidRPr="00B12710">
              <w:rPr>
                <w:rFonts w:ascii="Times New Roman" w:eastAsia="Times New Roman" w:hAnsi="Times New Roman" w:cs="Times New Roman"/>
              </w:rPr>
              <w:t>population</w:t>
            </w:r>
            <w:r w:rsidRPr="00B12710">
              <w:rPr>
                <w:rFonts w:ascii="Times New Roman" w:eastAsia="Times New Roman" w:hAnsi="Times New Roman" w:cs="Times New Roman"/>
              </w:rPr>
              <w:t>.  Increasing population levels of the causal agent of SDS (Fv) may be important for</w:t>
            </w:r>
            <w:r w:rsidR="00CB0188">
              <w:rPr>
                <w:rFonts w:ascii="Times New Roman" w:eastAsia="Times New Roman" w:hAnsi="Times New Roman" w:cs="Times New Roman"/>
              </w:rPr>
              <w:t xml:space="preserve"> disease development in the</w:t>
            </w:r>
            <w:r w:rsidRPr="00B12710">
              <w:rPr>
                <w:rFonts w:ascii="Times New Roman" w:eastAsia="Times New Roman" w:hAnsi="Times New Roman" w:cs="Times New Roman"/>
              </w:rPr>
              <w:t xml:space="preserve"> susceptible variety.  No clear effect was seen by the addition of substrate</w:t>
            </w:r>
            <w:r w:rsidR="00CB0188">
              <w:rPr>
                <w:rFonts w:ascii="Times New Roman" w:eastAsia="Times New Roman" w:hAnsi="Times New Roman" w:cs="Times New Roman"/>
              </w:rPr>
              <w:t>s</w:t>
            </w:r>
            <w:r w:rsidRPr="00B12710">
              <w:rPr>
                <w:rFonts w:ascii="Times New Roman" w:eastAsia="Times New Roman" w:hAnsi="Times New Roman" w:cs="Times New Roman"/>
              </w:rPr>
              <w:t xml:space="preserve"> (residue) on disease severity.  Overall, these results suggest that </w:t>
            </w:r>
            <w:r w:rsidR="002E5D4C" w:rsidRPr="00B12710">
              <w:rPr>
                <w:rFonts w:ascii="Times New Roman" w:hAnsi="Times New Roman" w:cs="Times New Roman"/>
              </w:rPr>
              <w:t>SDS</w:t>
            </w:r>
            <w:r w:rsidR="00395C1F" w:rsidRPr="00B12710">
              <w:rPr>
                <w:rFonts w:ascii="Times New Roman" w:hAnsi="Times New Roman" w:cs="Times New Roman"/>
              </w:rPr>
              <w:t xml:space="preserve"> pathogen </w:t>
            </w:r>
            <w:r w:rsidR="00CB0188">
              <w:rPr>
                <w:rFonts w:ascii="Times New Roman" w:hAnsi="Times New Roman" w:cs="Times New Roman"/>
              </w:rPr>
              <w:t>population size in soil is</w:t>
            </w:r>
            <w:r w:rsidR="00395C1F" w:rsidRPr="00B12710">
              <w:rPr>
                <w:rFonts w:ascii="Times New Roman" w:hAnsi="Times New Roman" w:cs="Times New Roman"/>
              </w:rPr>
              <w:t xml:space="preserve"> a </w:t>
            </w:r>
            <w:r w:rsidR="001F7A4B" w:rsidRPr="00B12710">
              <w:rPr>
                <w:rFonts w:ascii="Times New Roman" w:hAnsi="Times New Roman" w:cs="Times New Roman"/>
              </w:rPr>
              <w:t>risk factor</w:t>
            </w:r>
            <w:r w:rsidRPr="00B12710">
              <w:rPr>
                <w:rFonts w:ascii="Times New Roman" w:hAnsi="Times New Roman" w:cs="Times New Roman"/>
              </w:rPr>
              <w:t>, and one</w:t>
            </w:r>
            <w:r w:rsidR="001F7A4B" w:rsidRPr="00B12710">
              <w:rPr>
                <w:rFonts w:ascii="Times New Roman" w:hAnsi="Times New Roman" w:cs="Times New Roman"/>
              </w:rPr>
              <w:t xml:space="preserve"> that we </w:t>
            </w:r>
            <w:r w:rsidR="00CB0188">
              <w:rPr>
                <w:rFonts w:ascii="Times New Roman" w:hAnsi="Times New Roman" w:cs="Times New Roman"/>
              </w:rPr>
              <w:t xml:space="preserve">can potentially </w:t>
            </w:r>
            <w:r w:rsidR="001F7A4B" w:rsidRPr="00B12710">
              <w:rPr>
                <w:rFonts w:ascii="Times New Roman" w:hAnsi="Times New Roman" w:cs="Times New Roman"/>
              </w:rPr>
              <w:t>measure in soil in the fall or spring prior to planting soybean.</w:t>
            </w:r>
            <w:r w:rsidR="007C560F" w:rsidRPr="00B12710">
              <w:rPr>
                <w:rFonts w:ascii="Times New Roman" w:hAnsi="Times New Roman" w:cs="Times New Roman"/>
              </w:rPr>
              <w:t xml:space="preserve">  </w:t>
            </w:r>
          </w:p>
          <w:p w:rsidR="00562A5C" w:rsidRPr="00B12710" w:rsidRDefault="00562A5C" w:rsidP="00562A5C">
            <w:pPr>
              <w:pStyle w:val="ListParagraph"/>
              <w:tabs>
                <w:tab w:val="left" w:pos="360"/>
              </w:tabs>
              <w:ind w:left="339"/>
              <w:rPr>
                <w:rFonts w:ascii="Times New Roman" w:hAnsi="Times New Roman" w:cs="Times New Roman"/>
                <w:b/>
              </w:rPr>
            </w:pPr>
          </w:p>
          <w:p w:rsidR="001A3E9A" w:rsidRPr="00FD0872" w:rsidRDefault="001A3E9A" w:rsidP="00DC15C7">
            <w:pPr>
              <w:tabs>
                <w:tab w:val="left" w:pos="720"/>
              </w:tabs>
              <w:spacing w:after="0" w:line="240" w:lineRule="auto"/>
              <w:ind w:left="789" w:hanging="810"/>
              <w:rPr>
                <w:rFonts w:ascii="Times New Roman" w:hAnsi="Times New Roman" w:cs="Times New Roman"/>
                <w:b/>
                <w:sz w:val="24"/>
                <w:szCs w:val="24"/>
              </w:rPr>
            </w:pPr>
            <w:r w:rsidRPr="00FD0872">
              <w:rPr>
                <w:rFonts w:ascii="Times New Roman" w:hAnsi="Times New Roman" w:cs="Times New Roman"/>
                <w:color w:val="C00000"/>
                <w:sz w:val="24"/>
                <w:szCs w:val="24"/>
              </w:rPr>
              <w:t xml:space="preserve">    </w:t>
            </w:r>
            <w:r w:rsidRPr="00FD0872">
              <w:rPr>
                <w:rFonts w:ascii="Times New Roman" w:hAnsi="Times New Roman" w:cs="Times New Roman"/>
                <w:b/>
                <w:sz w:val="24"/>
                <w:szCs w:val="24"/>
              </w:rPr>
              <w:t xml:space="preserve"> Goal B: </w:t>
            </w:r>
            <w:r w:rsidR="00CB0188">
              <w:rPr>
                <w:rFonts w:ascii="Times New Roman" w:hAnsi="Times New Roman" w:cs="Times New Roman"/>
                <w:b/>
                <w:sz w:val="24"/>
                <w:szCs w:val="24"/>
              </w:rPr>
              <w:t xml:space="preserve"> </w:t>
            </w:r>
            <w:r w:rsidRPr="00FD0872">
              <w:rPr>
                <w:rFonts w:ascii="Times New Roman" w:hAnsi="Times New Roman" w:cs="Times New Roman"/>
                <w:b/>
                <w:sz w:val="24"/>
                <w:szCs w:val="24"/>
              </w:rPr>
              <w:t>Evaluate soybean breeding lines and varieties for resistance to BSR</w:t>
            </w:r>
            <w:r w:rsidR="00B12710">
              <w:rPr>
                <w:rFonts w:ascii="Times New Roman" w:hAnsi="Times New Roman" w:cs="Times New Roman"/>
                <w:b/>
                <w:sz w:val="24"/>
                <w:szCs w:val="24"/>
              </w:rPr>
              <w:t>.</w:t>
            </w:r>
          </w:p>
          <w:p w:rsidR="00A5644C" w:rsidRPr="00FD0872" w:rsidRDefault="00A638D9" w:rsidP="00F9544F">
            <w:pPr>
              <w:shd w:val="clear" w:color="auto" w:fill="FFFFFF"/>
              <w:spacing w:after="0" w:line="240" w:lineRule="auto"/>
              <w:ind w:left="270" w:hanging="21"/>
              <w:rPr>
                <w:rFonts w:ascii="Times New Roman" w:hAnsi="Times New Roman" w:cs="Times New Roman"/>
                <w:sz w:val="24"/>
                <w:szCs w:val="24"/>
              </w:rPr>
            </w:pPr>
            <w:r w:rsidRPr="00FD0872">
              <w:rPr>
                <w:rFonts w:ascii="Times New Roman" w:hAnsi="Times New Roman" w:cs="Times New Roman"/>
                <w:sz w:val="24"/>
                <w:szCs w:val="24"/>
              </w:rPr>
              <w:t>We conducted</w:t>
            </w:r>
            <w:r w:rsidR="007717E0" w:rsidRPr="00FD0872">
              <w:rPr>
                <w:rFonts w:ascii="Times New Roman" w:hAnsi="Times New Roman" w:cs="Times New Roman"/>
                <w:sz w:val="24"/>
                <w:szCs w:val="24"/>
              </w:rPr>
              <w:t xml:space="preserve"> greenhouse studies</w:t>
            </w:r>
            <w:r w:rsidRPr="00FD0872">
              <w:rPr>
                <w:rFonts w:ascii="Times New Roman" w:hAnsi="Times New Roman" w:cs="Times New Roman"/>
                <w:sz w:val="24"/>
                <w:szCs w:val="24"/>
              </w:rPr>
              <w:t xml:space="preserve"> to determine the effect of pathogen isolate and inoculation method on </w:t>
            </w:r>
            <w:r w:rsidR="0064307E" w:rsidRPr="00FD0872">
              <w:rPr>
                <w:rFonts w:ascii="Times New Roman" w:hAnsi="Times New Roman" w:cs="Times New Roman"/>
                <w:sz w:val="24"/>
                <w:szCs w:val="24"/>
              </w:rPr>
              <w:t>BSR severity on</w:t>
            </w:r>
            <w:r w:rsidR="00865352" w:rsidRPr="00FD0872">
              <w:rPr>
                <w:rFonts w:ascii="Times New Roman" w:hAnsi="Times New Roman" w:cs="Times New Roman"/>
                <w:sz w:val="24"/>
                <w:szCs w:val="24"/>
              </w:rPr>
              <w:t xml:space="preserve"> a</w:t>
            </w:r>
            <w:r w:rsidR="0064307E" w:rsidRPr="00FD0872">
              <w:rPr>
                <w:rFonts w:ascii="Times New Roman" w:hAnsi="Times New Roman" w:cs="Times New Roman"/>
                <w:sz w:val="24"/>
                <w:szCs w:val="24"/>
              </w:rPr>
              <w:t xml:space="preserve"> test set of soybean lines from Aaron Lorenze’s soybean breeding project</w:t>
            </w:r>
            <w:r w:rsidR="007717E0" w:rsidRPr="00FD0872">
              <w:rPr>
                <w:rFonts w:ascii="Times New Roman" w:hAnsi="Times New Roman" w:cs="Times New Roman"/>
                <w:sz w:val="24"/>
                <w:szCs w:val="24"/>
              </w:rPr>
              <w:t xml:space="preserve"> at the U of MN</w:t>
            </w:r>
            <w:r w:rsidR="0064307E" w:rsidRPr="00FD0872">
              <w:rPr>
                <w:rFonts w:ascii="Times New Roman" w:hAnsi="Times New Roman" w:cs="Times New Roman"/>
                <w:sz w:val="24"/>
                <w:szCs w:val="24"/>
              </w:rPr>
              <w:t xml:space="preserve">.  </w:t>
            </w:r>
            <w:r w:rsidR="007717E0" w:rsidRPr="00FD0872">
              <w:rPr>
                <w:rFonts w:ascii="Times New Roman" w:eastAsia="Times New Roman" w:hAnsi="Times New Roman" w:cs="Times New Roman"/>
                <w:sz w:val="24"/>
                <w:szCs w:val="24"/>
              </w:rPr>
              <w:t xml:space="preserve">Several advanced breeding lines were tested </w:t>
            </w:r>
            <w:r w:rsidR="007717E0" w:rsidRPr="00FD0872">
              <w:rPr>
                <w:rFonts w:ascii="Times New Roman" w:eastAsia="Times New Roman" w:hAnsi="Times New Roman" w:cs="Times New Roman"/>
                <w:sz w:val="24"/>
                <w:szCs w:val="24"/>
              </w:rPr>
              <w:lastRenderedPageBreak/>
              <w:t>for BSR resistance in the greenhouse to multiple isolates of both types (A and B) of the BSR pathogen.  Isolates differed in pathogenicity, causing moderate</w:t>
            </w:r>
            <w:r w:rsidR="005235F0">
              <w:rPr>
                <w:rFonts w:ascii="Times New Roman" w:eastAsia="Times New Roman" w:hAnsi="Times New Roman" w:cs="Times New Roman"/>
                <w:sz w:val="24"/>
                <w:szCs w:val="24"/>
              </w:rPr>
              <w:t xml:space="preserve"> to severe stem browning. </w:t>
            </w:r>
            <w:r w:rsidR="007717E0" w:rsidRPr="00FD0872">
              <w:rPr>
                <w:rFonts w:ascii="Times New Roman" w:eastAsia="Times New Roman" w:hAnsi="Times New Roman" w:cs="Times New Roman"/>
                <w:sz w:val="24"/>
                <w:szCs w:val="24"/>
              </w:rPr>
              <w:t xml:space="preserve">The most aggressive isolates caused an average stem browning </w:t>
            </w:r>
            <w:r w:rsidR="005235F0">
              <w:rPr>
                <w:rFonts w:ascii="Times New Roman" w:eastAsia="Times New Roman" w:hAnsi="Times New Roman" w:cs="Times New Roman"/>
                <w:sz w:val="24"/>
                <w:szCs w:val="24"/>
              </w:rPr>
              <w:t xml:space="preserve">severity score </w:t>
            </w:r>
            <w:r w:rsidR="007717E0" w:rsidRPr="00FD0872">
              <w:rPr>
                <w:rFonts w:ascii="Times New Roman" w:eastAsia="Times New Roman" w:hAnsi="Times New Roman" w:cs="Times New Roman"/>
                <w:sz w:val="24"/>
                <w:szCs w:val="24"/>
              </w:rPr>
              <w:t>of 93% and the least aggressive was 7%.  Breeding lines differed in susceptibility and ranged from 28 to 63% stem browning.  BSR did not have any effect on biomass.  The occurrence of foliar BSR symptoms were more dependent o</w:t>
            </w:r>
            <w:r w:rsidR="005235F0">
              <w:rPr>
                <w:rFonts w:ascii="Times New Roman" w:eastAsia="Times New Roman" w:hAnsi="Times New Roman" w:cs="Times New Roman"/>
                <w:sz w:val="24"/>
                <w:szCs w:val="24"/>
              </w:rPr>
              <w:t>n the pathogen</w:t>
            </w:r>
            <w:r w:rsidR="007717E0" w:rsidRPr="00FD0872">
              <w:rPr>
                <w:rFonts w:ascii="Times New Roman" w:eastAsia="Times New Roman" w:hAnsi="Times New Roman" w:cs="Times New Roman"/>
                <w:sz w:val="24"/>
                <w:szCs w:val="24"/>
              </w:rPr>
              <w:t xml:space="preserve"> isolate </w:t>
            </w:r>
            <w:r w:rsidR="00F9544F" w:rsidRPr="00FD0872">
              <w:rPr>
                <w:rFonts w:ascii="Times New Roman" w:eastAsia="Times New Roman" w:hAnsi="Times New Roman" w:cs="Times New Roman"/>
                <w:sz w:val="24"/>
                <w:szCs w:val="24"/>
              </w:rPr>
              <w:t>than</w:t>
            </w:r>
            <w:r w:rsidR="007717E0" w:rsidRPr="00FD0872">
              <w:rPr>
                <w:rFonts w:ascii="Times New Roman" w:eastAsia="Times New Roman" w:hAnsi="Times New Roman" w:cs="Times New Roman"/>
                <w:sz w:val="24"/>
                <w:szCs w:val="24"/>
              </w:rPr>
              <w:t xml:space="preserve"> the breeding line</w:t>
            </w:r>
            <w:r w:rsidR="00F9544F" w:rsidRPr="00FD0872">
              <w:rPr>
                <w:rFonts w:ascii="Times New Roman" w:eastAsia="Times New Roman" w:hAnsi="Times New Roman" w:cs="Times New Roman"/>
                <w:sz w:val="24"/>
                <w:szCs w:val="24"/>
              </w:rPr>
              <w:t>, suggesting that the lines could perform differently in different regions based on the prevailing populations of the BSR pathogen in soil</w:t>
            </w:r>
            <w:r w:rsidR="007717E0" w:rsidRPr="00FD0872">
              <w:rPr>
                <w:rFonts w:ascii="Times New Roman" w:eastAsia="Times New Roman" w:hAnsi="Times New Roman" w:cs="Times New Roman"/>
                <w:sz w:val="24"/>
                <w:szCs w:val="24"/>
              </w:rPr>
              <w:t>.</w:t>
            </w:r>
            <w:r w:rsidR="00F9544F" w:rsidRPr="00FD0872">
              <w:rPr>
                <w:rFonts w:ascii="Times New Roman" w:eastAsia="Times New Roman" w:hAnsi="Times New Roman" w:cs="Times New Roman"/>
                <w:sz w:val="24"/>
                <w:szCs w:val="24"/>
              </w:rPr>
              <w:t xml:space="preserve">   </w:t>
            </w:r>
            <w:r w:rsidR="007717E0" w:rsidRPr="00FD0872">
              <w:rPr>
                <w:rFonts w:ascii="Times New Roman" w:eastAsia="Times New Roman" w:hAnsi="Times New Roman" w:cs="Times New Roman"/>
                <w:sz w:val="24"/>
                <w:szCs w:val="24"/>
              </w:rPr>
              <w:t xml:space="preserve">In the future we will use our proven methods from this study </w:t>
            </w:r>
            <w:r w:rsidR="0064307E" w:rsidRPr="00FD0872">
              <w:rPr>
                <w:rFonts w:ascii="Times New Roman" w:hAnsi="Times New Roman" w:cs="Times New Roman"/>
                <w:sz w:val="24"/>
                <w:szCs w:val="24"/>
              </w:rPr>
              <w:t>for more extensive studies of resistance to BSR among lines from the soybean breeding program.</w:t>
            </w:r>
          </w:p>
          <w:p w:rsidR="006C3E67" w:rsidRPr="00FD0872" w:rsidRDefault="006C3E67" w:rsidP="006C3E67">
            <w:pPr>
              <w:shd w:val="clear" w:color="auto" w:fill="FFFFFF"/>
              <w:spacing w:after="0" w:line="240" w:lineRule="auto"/>
              <w:ind w:left="270" w:hanging="270"/>
              <w:rPr>
                <w:rFonts w:ascii="Times New Roman" w:eastAsia="Times New Roman" w:hAnsi="Times New Roman" w:cs="Times New Roman"/>
                <w:color w:val="222222"/>
                <w:sz w:val="24"/>
                <w:szCs w:val="24"/>
              </w:rPr>
            </w:pPr>
            <w:r w:rsidRPr="00FD0872">
              <w:rPr>
                <w:rFonts w:ascii="Times New Roman" w:eastAsia="Times New Roman" w:hAnsi="Times New Roman" w:cs="Times New Roman"/>
                <w:color w:val="222222"/>
                <w:sz w:val="24"/>
                <w:szCs w:val="24"/>
              </w:rPr>
              <w:t>     </w:t>
            </w:r>
          </w:p>
          <w:p w:rsidR="001A3E9A" w:rsidRDefault="001A3E9A" w:rsidP="001A3E9A">
            <w:pPr>
              <w:tabs>
                <w:tab w:val="left" w:pos="720"/>
              </w:tabs>
              <w:spacing w:after="0" w:line="240" w:lineRule="auto"/>
              <w:rPr>
                <w:rFonts w:ascii="Times New Roman" w:hAnsi="Times New Roman" w:cs="Times New Roman"/>
                <w:b/>
                <w:color w:val="000000" w:themeColor="text1"/>
                <w:sz w:val="24"/>
                <w:szCs w:val="24"/>
              </w:rPr>
            </w:pPr>
            <w:r w:rsidRPr="00FD0872">
              <w:rPr>
                <w:rFonts w:ascii="Times New Roman" w:hAnsi="Times New Roman" w:cs="Times New Roman"/>
                <w:b/>
                <w:color w:val="000000" w:themeColor="text1"/>
                <w:sz w:val="24"/>
                <w:szCs w:val="24"/>
              </w:rPr>
              <w:t>3.</w:t>
            </w:r>
            <w:r w:rsidRPr="00FD0872">
              <w:rPr>
                <w:rFonts w:ascii="Times New Roman" w:hAnsi="Times New Roman" w:cs="Times New Roman"/>
                <w:color w:val="000000" w:themeColor="text1"/>
                <w:sz w:val="24"/>
                <w:szCs w:val="24"/>
              </w:rPr>
              <w:t xml:space="preserve"> </w:t>
            </w:r>
            <w:r w:rsidRPr="00FD0872">
              <w:rPr>
                <w:rFonts w:ascii="Times New Roman" w:hAnsi="Times New Roman" w:cs="Times New Roman"/>
                <w:b/>
                <w:color w:val="000000" w:themeColor="text1"/>
                <w:sz w:val="24"/>
                <w:szCs w:val="24"/>
              </w:rPr>
              <w:t xml:space="preserve">Carry out extension education and soybean disease diagnostic activities that address important and unusual soybean disease problems in Minnesota.  </w:t>
            </w:r>
          </w:p>
          <w:p w:rsidR="000678F3" w:rsidRPr="00FD0872" w:rsidRDefault="000678F3" w:rsidP="001A3E9A">
            <w:pPr>
              <w:tabs>
                <w:tab w:val="left" w:pos="720"/>
              </w:tabs>
              <w:spacing w:after="0" w:line="240" w:lineRule="auto"/>
              <w:rPr>
                <w:rFonts w:ascii="Times New Roman" w:hAnsi="Times New Roman" w:cs="Times New Roman"/>
                <w:b/>
                <w:color w:val="000000" w:themeColor="text1"/>
                <w:sz w:val="24"/>
                <w:szCs w:val="24"/>
              </w:rPr>
            </w:pPr>
          </w:p>
          <w:p w:rsidR="001A3E9A" w:rsidRPr="00FD0872" w:rsidRDefault="001A3E9A" w:rsidP="001A3E9A">
            <w:pPr>
              <w:spacing w:after="0" w:line="240" w:lineRule="auto"/>
              <w:ind w:left="270" w:hanging="360"/>
              <w:rPr>
                <w:rFonts w:ascii="Times New Roman" w:hAnsi="Times New Roman" w:cs="Times New Roman"/>
                <w:b/>
                <w:sz w:val="24"/>
                <w:szCs w:val="24"/>
              </w:rPr>
            </w:pPr>
            <w:r w:rsidRPr="00FD0872">
              <w:rPr>
                <w:rFonts w:ascii="Times New Roman" w:hAnsi="Times New Roman" w:cs="Times New Roman"/>
                <w:b/>
                <w:color w:val="000000" w:themeColor="text1"/>
                <w:sz w:val="24"/>
                <w:szCs w:val="24"/>
              </w:rPr>
              <w:t xml:space="preserve">      Goal A:</w:t>
            </w:r>
            <w:r w:rsidRPr="00FD0872">
              <w:rPr>
                <w:rFonts w:ascii="Times New Roman" w:hAnsi="Times New Roman" w:cs="Times New Roman"/>
                <w:b/>
                <w:sz w:val="24"/>
                <w:szCs w:val="24"/>
              </w:rPr>
              <w:t xml:space="preserve"> Disseminate information, and teach and organize specialized meetings and            </w:t>
            </w:r>
          </w:p>
          <w:p w:rsidR="001A3E9A" w:rsidRDefault="001A3E9A" w:rsidP="001A3E9A">
            <w:pPr>
              <w:spacing w:after="0" w:line="240" w:lineRule="auto"/>
              <w:ind w:left="720" w:firstLine="360"/>
              <w:rPr>
                <w:rFonts w:ascii="Times New Roman" w:hAnsi="Times New Roman" w:cs="Times New Roman"/>
                <w:b/>
                <w:sz w:val="24"/>
                <w:szCs w:val="24"/>
              </w:rPr>
            </w:pPr>
            <w:r w:rsidRPr="00FD0872">
              <w:rPr>
                <w:rFonts w:ascii="Times New Roman" w:hAnsi="Times New Roman" w:cs="Times New Roman"/>
                <w:b/>
                <w:sz w:val="24"/>
                <w:szCs w:val="24"/>
              </w:rPr>
              <w:t xml:space="preserve">workshops to address soybean disease information needs. </w:t>
            </w:r>
          </w:p>
          <w:p w:rsidR="005F6BE4" w:rsidRPr="00562A5C" w:rsidRDefault="005F6BE4" w:rsidP="005F6BE4">
            <w:pPr>
              <w:pStyle w:val="Default"/>
              <w:numPr>
                <w:ilvl w:val="0"/>
                <w:numId w:val="4"/>
              </w:numPr>
              <w:rPr>
                <w:color w:val="auto"/>
              </w:rPr>
            </w:pPr>
            <w:r w:rsidRPr="00562A5C">
              <w:rPr>
                <w:color w:val="auto"/>
              </w:rPr>
              <w:t xml:space="preserve">I have conducted </w:t>
            </w:r>
            <w:r w:rsidR="00E105AE" w:rsidRPr="00562A5C">
              <w:rPr>
                <w:color w:val="auto"/>
              </w:rPr>
              <w:t>outreach</w:t>
            </w:r>
            <w:r w:rsidRPr="00562A5C">
              <w:rPr>
                <w:color w:val="auto"/>
              </w:rPr>
              <w:t xml:space="preserve"> and information delivery on soybean diseases via multiple phone and email contacts</w:t>
            </w:r>
            <w:r w:rsidR="007805AF" w:rsidRPr="00562A5C">
              <w:rPr>
                <w:color w:val="auto"/>
              </w:rPr>
              <w:t xml:space="preserve"> </w:t>
            </w:r>
            <w:r w:rsidR="000678F3">
              <w:rPr>
                <w:color w:val="auto"/>
              </w:rPr>
              <w:t xml:space="preserve">and conversations </w:t>
            </w:r>
            <w:r w:rsidR="007805AF" w:rsidRPr="00562A5C">
              <w:rPr>
                <w:color w:val="auto"/>
              </w:rPr>
              <w:t xml:space="preserve">throughout this </w:t>
            </w:r>
            <w:r w:rsidR="00562A5C" w:rsidRPr="00562A5C">
              <w:rPr>
                <w:color w:val="auto"/>
              </w:rPr>
              <w:t>grant</w:t>
            </w:r>
            <w:r w:rsidR="007805AF" w:rsidRPr="00562A5C">
              <w:rPr>
                <w:color w:val="auto"/>
              </w:rPr>
              <w:t xml:space="preserve"> period</w:t>
            </w:r>
            <w:r w:rsidRPr="00562A5C">
              <w:rPr>
                <w:color w:val="auto"/>
              </w:rPr>
              <w:t>.</w:t>
            </w:r>
          </w:p>
          <w:p w:rsidR="007805AF" w:rsidRDefault="00562A5C" w:rsidP="005F6BE4">
            <w:pPr>
              <w:pStyle w:val="Default"/>
              <w:numPr>
                <w:ilvl w:val="0"/>
                <w:numId w:val="4"/>
              </w:numPr>
              <w:rPr>
                <w:color w:val="auto"/>
              </w:rPr>
            </w:pPr>
            <w:r w:rsidRPr="00562A5C">
              <w:rPr>
                <w:color w:val="auto"/>
              </w:rPr>
              <w:t>R</w:t>
            </w:r>
            <w:r w:rsidR="00F53C03" w:rsidRPr="00562A5C">
              <w:rPr>
                <w:color w:val="auto"/>
              </w:rPr>
              <w:t>esults from this project and on other soybe</w:t>
            </w:r>
            <w:r w:rsidRPr="00562A5C">
              <w:rPr>
                <w:color w:val="auto"/>
              </w:rPr>
              <w:t>an disease management issue were presented at 12</w:t>
            </w:r>
            <w:r w:rsidR="00F53C03" w:rsidRPr="00562A5C">
              <w:rPr>
                <w:color w:val="auto"/>
              </w:rPr>
              <w:t xml:space="preserve"> </w:t>
            </w:r>
            <w:r w:rsidRPr="00562A5C">
              <w:rPr>
                <w:color w:val="auto"/>
              </w:rPr>
              <w:t>meetings</w:t>
            </w:r>
            <w:r w:rsidR="001C0A29">
              <w:rPr>
                <w:color w:val="auto"/>
              </w:rPr>
              <w:t>, workshops,</w:t>
            </w:r>
            <w:r w:rsidRPr="00562A5C">
              <w:rPr>
                <w:color w:val="auto"/>
              </w:rPr>
              <w:t xml:space="preserve"> and </w:t>
            </w:r>
            <w:r w:rsidR="00F53C03" w:rsidRPr="00562A5C">
              <w:rPr>
                <w:color w:val="auto"/>
              </w:rPr>
              <w:t>conferences to audiences o</w:t>
            </w:r>
            <w:r w:rsidR="00865352" w:rsidRPr="00562A5C">
              <w:rPr>
                <w:color w:val="auto"/>
              </w:rPr>
              <w:t xml:space="preserve">f approximately </w:t>
            </w:r>
            <w:r w:rsidRPr="00562A5C">
              <w:rPr>
                <w:color w:val="auto"/>
              </w:rPr>
              <w:t>750</w:t>
            </w:r>
            <w:r w:rsidR="00865352" w:rsidRPr="00562A5C">
              <w:rPr>
                <w:color w:val="auto"/>
              </w:rPr>
              <w:t xml:space="preserve"> attendees. </w:t>
            </w:r>
            <w:r w:rsidR="00F53C03" w:rsidRPr="00562A5C">
              <w:rPr>
                <w:color w:val="auto"/>
              </w:rPr>
              <w:t xml:space="preserve">The locations </w:t>
            </w:r>
            <w:r w:rsidRPr="00562A5C">
              <w:rPr>
                <w:color w:val="auto"/>
              </w:rPr>
              <w:t>include</w:t>
            </w:r>
            <w:r w:rsidR="00F53C03" w:rsidRPr="00562A5C">
              <w:rPr>
                <w:color w:val="auto"/>
              </w:rPr>
              <w:t xml:space="preserve"> </w:t>
            </w:r>
            <w:r w:rsidRPr="00562A5C">
              <w:rPr>
                <w:color w:val="auto"/>
              </w:rPr>
              <w:t xml:space="preserve">Rosemount, Waseca, </w:t>
            </w:r>
            <w:r w:rsidR="00F53C03" w:rsidRPr="00562A5C">
              <w:rPr>
                <w:color w:val="auto"/>
              </w:rPr>
              <w:t>Minneapolis, Rochester, Lamberton, Morris, Wilmar, Austin,</w:t>
            </w:r>
            <w:r w:rsidRPr="00562A5C">
              <w:rPr>
                <w:color w:val="auto"/>
              </w:rPr>
              <w:t xml:space="preserve"> and Pine City,</w:t>
            </w:r>
            <w:r w:rsidR="00F53C03" w:rsidRPr="00562A5C">
              <w:rPr>
                <w:color w:val="auto"/>
              </w:rPr>
              <w:t xml:space="preserve"> MN.</w:t>
            </w:r>
          </w:p>
          <w:p w:rsidR="00562A5C" w:rsidRPr="00562A5C" w:rsidRDefault="00562A5C" w:rsidP="00562A5C">
            <w:pPr>
              <w:pStyle w:val="Default"/>
              <w:ind w:left="720"/>
              <w:rPr>
                <w:color w:val="auto"/>
              </w:rPr>
            </w:pPr>
          </w:p>
          <w:p w:rsidR="001A3E9A" w:rsidRPr="00FD0872" w:rsidRDefault="001A3E9A" w:rsidP="00DA638A">
            <w:pPr>
              <w:spacing w:after="0" w:line="240" w:lineRule="auto"/>
              <w:ind w:left="1080" w:hanging="1080"/>
              <w:rPr>
                <w:rFonts w:ascii="Times New Roman" w:hAnsi="Times New Roman" w:cs="Times New Roman"/>
                <w:color w:val="0070C0"/>
                <w:sz w:val="24"/>
                <w:szCs w:val="24"/>
              </w:rPr>
            </w:pPr>
            <w:r w:rsidRPr="00FD0872">
              <w:rPr>
                <w:rFonts w:ascii="Times New Roman" w:hAnsi="Times New Roman" w:cs="Times New Roman"/>
                <w:color w:val="C00000"/>
                <w:sz w:val="24"/>
                <w:szCs w:val="24"/>
              </w:rPr>
              <w:t xml:space="preserve">   </w:t>
            </w:r>
            <w:r w:rsidRPr="00FD0872">
              <w:rPr>
                <w:rFonts w:ascii="Times New Roman" w:hAnsi="Times New Roman" w:cs="Times New Roman"/>
                <w:color w:val="000000" w:themeColor="text1"/>
                <w:sz w:val="24"/>
                <w:szCs w:val="24"/>
              </w:rPr>
              <w:t xml:space="preserve"> </w:t>
            </w:r>
            <w:r w:rsidRPr="00FD0872">
              <w:rPr>
                <w:rFonts w:ascii="Times New Roman" w:hAnsi="Times New Roman" w:cs="Times New Roman"/>
                <w:b/>
                <w:color w:val="000000" w:themeColor="text1"/>
                <w:sz w:val="24"/>
                <w:szCs w:val="24"/>
              </w:rPr>
              <w:t>Goal B:</w:t>
            </w:r>
            <w:r w:rsidRPr="00FD0872">
              <w:rPr>
                <w:rFonts w:ascii="Times New Roman" w:hAnsi="Times New Roman" w:cs="Times New Roman"/>
                <w:color w:val="000000" w:themeColor="text1"/>
                <w:sz w:val="24"/>
                <w:szCs w:val="24"/>
                <w:u w:val="single"/>
              </w:rPr>
              <w:t xml:space="preserve"> </w:t>
            </w:r>
            <w:r w:rsidRPr="00FD0872">
              <w:rPr>
                <w:rFonts w:ascii="Times New Roman" w:hAnsi="Times New Roman" w:cs="Times New Roman"/>
                <w:color w:val="000000" w:themeColor="text1"/>
                <w:sz w:val="24"/>
                <w:szCs w:val="24"/>
              </w:rPr>
              <w:t xml:space="preserve"> </w:t>
            </w:r>
            <w:r w:rsidRPr="00FD0872">
              <w:rPr>
                <w:rFonts w:ascii="Times New Roman" w:hAnsi="Times New Roman" w:cs="Times New Roman"/>
                <w:b/>
                <w:sz w:val="24"/>
                <w:szCs w:val="24"/>
              </w:rPr>
              <w:t xml:space="preserve">Perform specialized diagnosis of unusual soybean disease problems and address problem fields when special disease situations occur. </w:t>
            </w:r>
            <w:r w:rsidRPr="00FD0872">
              <w:rPr>
                <w:rFonts w:ascii="Times New Roman" w:hAnsi="Times New Roman" w:cs="Times New Roman"/>
                <w:color w:val="0070C0"/>
                <w:sz w:val="24"/>
                <w:szCs w:val="24"/>
              </w:rPr>
              <w:t xml:space="preserve"> </w:t>
            </w:r>
          </w:p>
          <w:p w:rsidR="008F1861" w:rsidRPr="00562A5C" w:rsidRDefault="00562A5C" w:rsidP="00562A5C">
            <w:pPr>
              <w:ind w:left="519"/>
              <w:rPr>
                <w:rFonts w:ascii="Times New Roman" w:hAnsi="Times New Roman" w:cs="Times New Roman"/>
                <w:sz w:val="24"/>
                <w:szCs w:val="24"/>
              </w:rPr>
            </w:pPr>
            <w:r w:rsidRPr="00562A5C">
              <w:rPr>
                <w:rFonts w:ascii="Times New Roman" w:hAnsi="Times New Roman" w:cs="Times New Roman"/>
                <w:sz w:val="24"/>
                <w:szCs w:val="24"/>
              </w:rPr>
              <w:t>My lab.</w:t>
            </w:r>
            <w:r w:rsidR="008F1861" w:rsidRPr="00562A5C">
              <w:rPr>
                <w:rFonts w:ascii="Times New Roman" w:hAnsi="Times New Roman" w:cs="Times New Roman"/>
                <w:sz w:val="24"/>
                <w:szCs w:val="24"/>
              </w:rPr>
              <w:t xml:space="preserve"> </w:t>
            </w:r>
            <w:proofErr w:type="gramStart"/>
            <w:r w:rsidR="008F1861" w:rsidRPr="00562A5C">
              <w:rPr>
                <w:rFonts w:ascii="Times New Roman" w:hAnsi="Times New Roman" w:cs="Times New Roman"/>
                <w:sz w:val="24"/>
                <w:szCs w:val="24"/>
              </w:rPr>
              <w:t>received</w:t>
            </w:r>
            <w:proofErr w:type="gramEnd"/>
            <w:r w:rsidRPr="00562A5C">
              <w:rPr>
                <w:rFonts w:ascii="Times New Roman" w:hAnsi="Times New Roman" w:cs="Times New Roman"/>
                <w:sz w:val="24"/>
                <w:szCs w:val="24"/>
              </w:rPr>
              <w:t xml:space="preserve"> </w:t>
            </w:r>
            <w:r w:rsidR="000678F3">
              <w:rPr>
                <w:rFonts w:ascii="Times New Roman" w:hAnsi="Times New Roman" w:cs="Times New Roman"/>
                <w:sz w:val="24"/>
                <w:szCs w:val="24"/>
              </w:rPr>
              <w:t xml:space="preserve">soybean </w:t>
            </w:r>
            <w:r w:rsidRPr="00562A5C">
              <w:rPr>
                <w:rFonts w:ascii="Times New Roman" w:hAnsi="Times New Roman" w:cs="Times New Roman"/>
                <w:sz w:val="24"/>
                <w:szCs w:val="24"/>
              </w:rPr>
              <w:t>samples for diagnosis, which included sudden death syndrome, frogeye leaf spot, and pod and stem blight caused by</w:t>
            </w:r>
            <w:r w:rsidR="008F1861" w:rsidRPr="00562A5C">
              <w:rPr>
                <w:rFonts w:ascii="Times New Roman" w:hAnsi="Times New Roman" w:cs="Times New Roman"/>
                <w:i/>
                <w:sz w:val="24"/>
                <w:szCs w:val="24"/>
              </w:rPr>
              <w:t xml:space="preserve"> Diaporthe</w:t>
            </w:r>
            <w:r>
              <w:rPr>
                <w:rFonts w:ascii="Times New Roman" w:hAnsi="Times New Roman" w:cs="Times New Roman"/>
                <w:sz w:val="24"/>
                <w:szCs w:val="24"/>
              </w:rPr>
              <w:t xml:space="preserve"> </w:t>
            </w:r>
            <w:r w:rsidRPr="00562A5C">
              <w:rPr>
                <w:rFonts w:ascii="Times New Roman" w:hAnsi="Times New Roman" w:cs="Times New Roman"/>
                <w:sz w:val="24"/>
                <w:szCs w:val="24"/>
              </w:rPr>
              <w:t>spp.  We also assisted with sample diagnosis in the U of MN Plant Disease clinic, and worked on improvement of diagnostic procedures</w:t>
            </w:r>
            <w:r w:rsidR="008F1861" w:rsidRPr="00562A5C">
              <w:rPr>
                <w:rFonts w:ascii="Times New Roman" w:hAnsi="Times New Roman" w:cs="Times New Roman"/>
                <w:sz w:val="24"/>
                <w:szCs w:val="24"/>
              </w:rPr>
              <w:t xml:space="preserve">.  </w:t>
            </w:r>
          </w:p>
          <w:p w:rsidR="0004672E" w:rsidRPr="00FD0872" w:rsidRDefault="00B34CEA" w:rsidP="00B34CEA">
            <w:pPr>
              <w:pStyle w:val="Default"/>
              <w:rPr>
                <w:color w:val="0070C0"/>
              </w:rPr>
            </w:pPr>
            <w:r w:rsidRPr="00FD0872">
              <w:rPr>
                <w:b/>
                <w:color w:val="auto"/>
              </w:rPr>
              <w:t>Spec</w:t>
            </w:r>
            <w:r w:rsidRPr="00FD0872">
              <w:rPr>
                <w:b/>
                <w:color w:val="000000" w:themeColor="text1"/>
              </w:rPr>
              <w:t>ific project achievements during this reporting period.</w:t>
            </w:r>
            <w:r w:rsidR="00F14774" w:rsidRPr="00FD0872">
              <w:rPr>
                <w:b/>
                <w:color w:val="C00000"/>
              </w:rPr>
              <w:t xml:space="preserve"> </w:t>
            </w:r>
            <w:r w:rsidR="00D844E5">
              <w:rPr>
                <w:color w:val="auto"/>
              </w:rPr>
              <w:t>Described above</w:t>
            </w:r>
          </w:p>
          <w:p w:rsidR="0064307E" w:rsidRPr="00FD0872" w:rsidRDefault="0064307E" w:rsidP="00B34CEA">
            <w:pPr>
              <w:pStyle w:val="Default"/>
              <w:rPr>
                <w:color w:val="auto"/>
              </w:rPr>
            </w:pPr>
          </w:p>
          <w:p w:rsidR="00B34CEA" w:rsidRDefault="00B34CEA" w:rsidP="00B34CEA">
            <w:pPr>
              <w:pStyle w:val="Default"/>
              <w:rPr>
                <w:color w:val="000000" w:themeColor="text1"/>
              </w:rPr>
            </w:pPr>
            <w:r w:rsidRPr="00FD0872">
              <w:rPr>
                <w:b/>
                <w:color w:val="000000" w:themeColor="text1"/>
              </w:rPr>
              <w:t xml:space="preserve">Challenges encountered. </w:t>
            </w:r>
            <w:r w:rsidR="00F14774" w:rsidRPr="00FD0872">
              <w:rPr>
                <w:b/>
                <w:color w:val="000000" w:themeColor="text1"/>
              </w:rPr>
              <w:t xml:space="preserve"> </w:t>
            </w:r>
            <w:r w:rsidR="00DA638A" w:rsidRPr="00FD0872">
              <w:rPr>
                <w:color w:val="000000" w:themeColor="text1"/>
              </w:rPr>
              <w:t>Only those noted above</w:t>
            </w:r>
            <w:r w:rsidR="00562A5C">
              <w:rPr>
                <w:color w:val="000000" w:themeColor="text1"/>
              </w:rPr>
              <w:t xml:space="preserve">, mostly related to an unfavorable </w:t>
            </w:r>
            <w:r w:rsidR="000678F3">
              <w:rPr>
                <w:color w:val="000000" w:themeColor="text1"/>
              </w:rPr>
              <w:t xml:space="preserve">field </w:t>
            </w:r>
            <w:r w:rsidR="00562A5C">
              <w:rPr>
                <w:color w:val="000000" w:themeColor="text1"/>
              </w:rPr>
              <w:t>environment for disease development in some of the studies.</w:t>
            </w:r>
          </w:p>
          <w:p w:rsidR="004E5E52" w:rsidRPr="00FD0872" w:rsidRDefault="004E5E52" w:rsidP="00B34CEA">
            <w:pPr>
              <w:pStyle w:val="Default"/>
              <w:rPr>
                <w:color w:val="000000" w:themeColor="text1"/>
              </w:rPr>
            </w:pPr>
          </w:p>
          <w:p w:rsidR="00B34CEA" w:rsidRPr="00FD0872" w:rsidRDefault="00B34CEA" w:rsidP="00B34CEA">
            <w:pPr>
              <w:pStyle w:val="Default"/>
              <w:rPr>
                <w:color w:val="000000" w:themeColor="text1"/>
              </w:rPr>
            </w:pPr>
            <w:r w:rsidRPr="00FD0872">
              <w:rPr>
                <w:b/>
                <w:color w:val="000000" w:themeColor="text1"/>
              </w:rPr>
              <w:t>Specific request for assistance from the Production AT on any challenges listed above.</w:t>
            </w:r>
            <w:r w:rsidR="00F14774" w:rsidRPr="00FD0872">
              <w:rPr>
                <w:b/>
                <w:color w:val="000000" w:themeColor="text1"/>
              </w:rPr>
              <w:t xml:space="preserve">  </w:t>
            </w:r>
            <w:r w:rsidRPr="00FD0872">
              <w:rPr>
                <w:color w:val="000000" w:themeColor="text1"/>
              </w:rPr>
              <w:t>None at this time</w:t>
            </w:r>
          </w:p>
          <w:p w:rsidR="003F19FE" w:rsidRPr="00FD0872" w:rsidRDefault="003F19FE" w:rsidP="00B34CEA">
            <w:pPr>
              <w:pStyle w:val="Default"/>
              <w:rPr>
                <w:color w:val="000000" w:themeColor="text1"/>
              </w:rPr>
            </w:pPr>
          </w:p>
          <w:p w:rsidR="00B34CEA" w:rsidRPr="00FD0872" w:rsidRDefault="00B34CEA" w:rsidP="00B34CEA">
            <w:pPr>
              <w:pStyle w:val="Default"/>
              <w:rPr>
                <w:b/>
                <w:color w:val="000000" w:themeColor="text1"/>
              </w:rPr>
            </w:pPr>
            <w:r w:rsidRPr="00FD0872">
              <w:rPr>
                <w:b/>
                <w:color w:val="000000" w:themeColor="text1"/>
              </w:rPr>
              <w:t>Information Dissemination of data/information from this research during this reporting period.</w:t>
            </w:r>
          </w:p>
          <w:p w:rsidR="00B34CEA" w:rsidRPr="00FD0872" w:rsidRDefault="00562A5C" w:rsidP="00562A5C">
            <w:pPr>
              <w:pStyle w:val="Default"/>
              <w:numPr>
                <w:ilvl w:val="0"/>
                <w:numId w:val="4"/>
              </w:numPr>
              <w:rPr>
                <w:color w:val="C00000"/>
              </w:rPr>
            </w:pPr>
            <w:r>
              <w:rPr>
                <w:color w:val="000000" w:themeColor="text1"/>
              </w:rPr>
              <w:t>This is n</w:t>
            </w:r>
            <w:r w:rsidR="00E105AE" w:rsidRPr="00FD0872">
              <w:rPr>
                <w:color w:val="000000" w:themeColor="text1"/>
              </w:rPr>
              <w:t>oted above under objective #3.</w:t>
            </w:r>
          </w:p>
        </w:tc>
        <w:tc>
          <w:tcPr>
            <w:tcW w:w="4456" w:type="dxa"/>
          </w:tcPr>
          <w:p w:rsidR="00B34CEA" w:rsidRPr="00691B46" w:rsidRDefault="00B34CEA" w:rsidP="00B34CEA">
            <w:pPr>
              <w:pStyle w:val="Default"/>
              <w:rPr>
                <w:color w:val="C00000"/>
              </w:rPr>
            </w:pPr>
          </w:p>
          <w:p w:rsidR="00B34CEA" w:rsidRPr="00691B46" w:rsidRDefault="00B34CEA" w:rsidP="00B34CEA">
            <w:pPr>
              <w:pStyle w:val="Default"/>
              <w:rPr>
                <w:color w:val="C00000"/>
              </w:rPr>
            </w:pPr>
          </w:p>
          <w:p w:rsidR="00B34CEA" w:rsidRPr="00691B46" w:rsidRDefault="00B34CEA" w:rsidP="00B34CEA">
            <w:pPr>
              <w:pStyle w:val="Default"/>
              <w:ind w:firstLine="2384"/>
              <w:rPr>
                <w:color w:val="C00000"/>
              </w:rPr>
            </w:pPr>
          </w:p>
          <w:p w:rsidR="00B34CEA" w:rsidRPr="00691B46" w:rsidRDefault="00B34CEA" w:rsidP="00B34CEA">
            <w:pPr>
              <w:pStyle w:val="Default"/>
              <w:rPr>
                <w:color w:val="C00000"/>
              </w:rPr>
            </w:pPr>
          </w:p>
          <w:p w:rsidR="00B34CEA" w:rsidRPr="00691B46" w:rsidRDefault="00B34CEA" w:rsidP="00B34CEA">
            <w:pPr>
              <w:pStyle w:val="Default"/>
              <w:rPr>
                <w:color w:val="C00000"/>
              </w:rPr>
            </w:pPr>
          </w:p>
        </w:tc>
      </w:tr>
    </w:tbl>
    <w:p w:rsidR="005B535A" w:rsidRPr="00691B46" w:rsidRDefault="002403A4">
      <w:pPr>
        <w:rPr>
          <w:rFonts w:ascii="Times New Roman" w:hAnsi="Times New Roman" w:cs="Times New Roman"/>
          <w:color w:val="C00000"/>
          <w:sz w:val="24"/>
          <w:szCs w:val="24"/>
        </w:rPr>
      </w:pPr>
    </w:p>
    <w:sectPr w:rsidR="005B535A" w:rsidRPr="0069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3846"/>
    <w:multiLevelType w:val="hybridMultilevel"/>
    <w:tmpl w:val="344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D3E07"/>
    <w:multiLevelType w:val="hybridMultilevel"/>
    <w:tmpl w:val="021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01A41"/>
    <w:multiLevelType w:val="hybridMultilevel"/>
    <w:tmpl w:val="C59EEC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D3148E"/>
    <w:multiLevelType w:val="hybridMultilevel"/>
    <w:tmpl w:val="8CBC97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516A66"/>
    <w:multiLevelType w:val="hybridMultilevel"/>
    <w:tmpl w:val="21E4965A"/>
    <w:lvl w:ilvl="0" w:tplc="5F0CE9E4">
      <w:start w:val="1"/>
      <w:numFmt w:val="bullet"/>
      <w:lvlText w:val=""/>
      <w:lvlJc w:val="left"/>
      <w:pPr>
        <w:tabs>
          <w:tab w:val="num" w:pos="720"/>
        </w:tabs>
        <w:ind w:left="720" w:hanging="360"/>
      </w:pPr>
      <w:rPr>
        <w:rFonts w:ascii="Wingdings" w:hAnsi="Wingdings" w:hint="default"/>
      </w:rPr>
    </w:lvl>
    <w:lvl w:ilvl="1" w:tplc="76089744" w:tentative="1">
      <w:start w:val="1"/>
      <w:numFmt w:val="bullet"/>
      <w:lvlText w:val=""/>
      <w:lvlJc w:val="left"/>
      <w:pPr>
        <w:tabs>
          <w:tab w:val="num" w:pos="1440"/>
        </w:tabs>
        <w:ind w:left="1440" w:hanging="360"/>
      </w:pPr>
      <w:rPr>
        <w:rFonts w:ascii="Wingdings" w:hAnsi="Wingdings" w:hint="default"/>
      </w:rPr>
    </w:lvl>
    <w:lvl w:ilvl="2" w:tplc="A1C23CD2" w:tentative="1">
      <w:start w:val="1"/>
      <w:numFmt w:val="bullet"/>
      <w:lvlText w:val=""/>
      <w:lvlJc w:val="left"/>
      <w:pPr>
        <w:tabs>
          <w:tab w:val="num" w:pos="2160"/>
        </w:tabs>
        <w:ind w:left="2160" w:hanging="360"/>
      </w:pPr>
      <w:rPr>
        <w:rFonts w:ascii="Wingdings" w:hAnsi="Wingdings" w:hint="default"/>
      </w:rPr>
    </w:lvl>
    <w:lvl w:ilvl="3" w:tplc="D12411DE" w:tentative="1">
      <w:start w:val="1"/>
      <w:numFmt w:val="bullet"/>
      <w:lvlText w:val=""/>
      <w:lvlJc w:val="left"/>
      <w:pPr>
        <w:tabs>
          <w:tab w:val="num" w:pos="2880"/>
        </w:tabs>
        <w:ind w:left="2880" w:hanging="360"/>
      </w:pPr>
      <w:rPr>
        <w:rFonts w:ascii="Wingdings" w:hAnsi="Wingdings" w:hint="default"/>
      </w:rPr>
    </w:lvl>
    <w:lvl w:ilvl="4" w:tplc="DC901508" w:tentative="1">
      <w:start w:val="1"/>
      <w:numFmt w:val="bullet"/>
      <w:lvlText w:val=""/>
      <w:lvlJc w:val="left"/>
      <w:pPr>
        <w:tabs>
          <w:tab w:val="num" w:pos="3600"/>
        </w:tabs>
        <w:ind w:left="3600" w:hanging="360"/>
      </w:pPr>
      <w:rPr>
        <w:rFonts w:ascii="Wingdings" w:hAnsi="Wingdings" w:hint="default"/>
      </w:rPr>
    </w:lvl>
    <w:lvl w:ilvl="5" w:tplc="1410FB58" w:tentative="1">
      <w:start w:val="1"/>
      <w:numFmt w:val="bullet"/>
      <w:lvlText w:val=""/>
      <w:lvlJc w:val="left"/>
      <w:pPr>
        <w:tabs>
          <w:tab w:val="num" w:pos="4320"/>
        </w:tabs>
        <w:ind w:left="4320" w:hanging="360"/>
      </w:pPr>
      <w:rPr>
        <w:rFonts w:ascii="Wingdings" w:hAnsi="Wingdings" w:hint="default"/>
      </w:rPr>
    </w:lvl>
    <w:lvl w:ilvl="6" w:tplc="12DE2662" w:tentative="1">
      <w:start w:val="1"/>
      <w:numFmt w:val="bullet"/>
      <w:lvlText w:val=""/>
      <w:lvlJc w:val="left"/>
      <w:pPr>
        <w:tabs>
          <w:tab w:val="num" w:pos="5040"/>
        </w:tabs>
        <w:ind w:left="5040" w:hanging="360"/>
      </w:pPr>
      <w:rPr>
        <w:rFonts w:ascii="Wingdings" w:hAnsi="Wingdings" w:hint="default"/>
      </w:rPr>
    </w:lvl>
    <w:lvl w:ilvl="7" w:tplc="E4065912" w:tentative="1">
      <w:start w:val="1"/>
      <w:numFmt w:val="bullet"/>
      <w:lvlText w:val=""/>
      <w:lvlJc w:val="left"/>
      <w:pPr>
        <w:tabs>
          <w:tab w:val="num" w:pos="5760"/>
        </w:tabs>
        <w:ind w:left="5760" w:hanging="360"/>
      </w:pPr>
      <w:rPr>
        <w:rFonts w:ascii="Wingdings" w:hAnsi="Wingdings" w:hint="default"/>
      </w:rPr>
    </w:lvl>
    <w:lvl w:ilvl="8" w:tplc="7ECE44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84A3A"/>
    <w:multiLevelType w:val="hybridMultilevel"/>
    <w:tmpl w:val="D5D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70F7C"/>
    <w:multiLevelType w:val="hybridMultilevel"/>
    <w:tmpl w:val="1670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11D97"/>
    <w:multiLevelType w:val="hybridMultilevel"/>
    <w:tmpl w:val="A4D6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EA"/>
    <w:rsid w:val="00010412"/>
    <w:rsid w:val="0002088D"/>
    <w:rsid w:val="00027082"/>
    <w:rsid w:val="00035103"/>
    <w:rsid w:val="0004123B"/>
    <w:rsid w:val="0004672E"/>
    <w:rsid w:val="00061058"/>
    <w:rsid w:val="000678F3"/>
    <w:rsid w:val="000B7158"/>
    <w:rsid w:val="000C1ADB"/>
    <w:rsid w:val="0010645B"/>
    <w:rsid w:val="00133A42"/>
    <w:rsid w:val="00140DC1"/>
    <w:rsid w:val="001509D4"/>
    <w:rsid w:val="001523F5"/>
    <w:rsid w:val="00152CFE"/>
    <w:rsid w:val="0018477B"/>
    <w:rsid w:val="001956D7"/>
    <w:rsid w:val="001A3E9A"/>
    <w:rsid w:val="001C0A29"/>
    <w:rsid w:val="001E25D1"/>
    <w:rsid w:val="001F5069"/>
    <w:rsid w:val="001F7A4B"/>
    <w:rsid w:val="00203714"/>
    <w:rsid w:val="00204EFE"/>
    <w:rsid w:val="002403A4"/>
    <w:rsid w:val="002748D3"/>
    <w:rsid w:val="00277D89"/>
    <w:rsid w:val="002A350C"/>
    <w:rsid w:val="002A55BB"/>
    <w:rsid w:val="002C3D74"/>
    <w:rsid w:val="002D1429"/>
    <w:rsid w:val="002E38AC"/>
    <w:rsid w:val="002E5D4C"/>
    <w:rsid w:val="0031753C"/>
    <w:rsid w:val="003411FD"/>
    <w:rsid w:val="003549E5"/>
    <w:rsid w:val="0036348E"/>
    <w:rsid w:val="00377A1D"/>
    <w:rsid w:val="00395C1F"/>
    <w:rsid w:val="003E42BE"/>
    <w:rsid w:val="003E5211"/>
    <w:rsid w:val="003F19FE"/>
    <w:rsid w:val="00405194"/>
    <w:rsid w:val="00427D96"/>
    <w:rsid w:val="00456F30"/>
    <w:rsid w:val="00461484"/>
    <w:rsid w:val="0048353C"/>
    <w:rsid w:val="00490359"/>
    <w:rsid w:val="004B5EDE"/>
    <w:rsid w:val="004D063E"/>
    <w:rsid w:val="004E0DC6"/>
    <w:rsid w:val="004E5E52"/>
    <w:rsid w:val="00514A0E"/>
    <w:rsid w:val="005235F0"/>
    <w:rsid w:val="00527F6D"/>
    <w:rsid w:val="00562A5C"/>
    <w:rsid w:val="005655A3"/>
    <w:rsid w:val="00583815"/>
    <w:rsid w:val="00593955"/>
    <w:rsid w:val="00594261"/>
    <w:rsid w:val="005A73AC"/>
    <w:rsid w:val="005A7E68"/>
    <w:rsid w:val="005C5EDC"/>
    <w:rsid w:val="005F6BE4"/>
    <w:rsid w:val="0064307E"/>
    <w:rsid w:val="00643F88"/>
    <w:rsid w:val="00644A51"/>
    <w:rsid w:val="006467CF"/>
    <w:rsid w:val="00651F92"/>
    <w:rsid w:val="006523BC"/>
    <w:rsid w:val="00661B88"/>
    <w:rsid w:val="00662504"/>
    <w:rsid w:val="00665EFC"/>
    <w:rsid w:val="006714EB"/>
    <w:rsid w:val="006730DC"/>
    <w:rsid w:val="0068068C"/>
    <w:rsid w:val="006848EC"/>
    <w:rsid w:val="006914EE"/>
    <w:rsid w:val="00691B46"/>
    <w:rsid w:val="006A3103"/>
    <w:rsid w:val="006B0681"/>
    <w:rsid w:val="006C3844"/>
    <w:rsid w:val="006C3E67"/>
    <w:rsid w:val="006D268B"/>
    <w:rsid w:val="006E36D2"/>
    <w:rsid w:val="006F6844"/>
    <w:rsid w:val="007014B5"/>
    <w:rsid w:val="007056C2"/>
    <w:rsid w:val="007254E6"/>
    <w:rsid w:val="007636E6"/>
    <w:rsid w:val="00766E8F"/>
    <w:rsid w:val="007717E0"/>
    <w:rsid w:val="007805AF"/>
    <w:rsid w:val="007B6558"/>
    <w:rsid w:val="007C560F"/>
    <w:rsid w:val="007D463E"/>
    <w:rsid w:val="007E410B"/>
    <w:rsid w:val="00840587"/>
    <w:rsid w:val="00845657"/>
    <w:rsid w:val="0085182E"/>
    <w:rsid w:val="00863517"/>
    <w:rsid w:val="00865352"/>
    <w:rsid w:val="00890AC9"/>
    <w:rsid w:val="008939E2"/>
    <w:rsid w:val="008D09C4"/>
    <w:rsid w:val="008D129B"/>
    <w:rsid w:val="008D1DA5"/>
    <w:rsid w:val="008D4641"/>
    <w:rsid w:val="008D7F60"/>
    <w:rsid w:val="008E7AEA"/>
    <w:rsid w:val="008F1861"/>
    <w:rsid w:val="00900C5C"/>
    <w:rsid w:val="00900CEF"/>
    <w:rsid w:val="00915CB0"/>
    <w:rsid w:val="009227E3"/>
    <w:rsid w:val="00923F92"/>
    <w:rsid w:val="0092476B"/>
    <w:rsid w:val="009838A6"/>
    <w:rsid w:val="009A3CCE"/>
    <w:rsid w:val="009A62D3"/>
    <w:rsid w:val="009B4958"/>
    <w:rsid w:val="009D1AA3"/>
    <w:rsid w:val="009D2583"/>
    <w:rsid w:val="009D3582"/>
    <w:rsid w:val="009E4831"/>
    <w:rsid w:val="00A13DDE"/>
    <w:rsid w:val="00A23461"/>
    <w:rsid w:val="00A35E58"/>
    <w:rsid w:val="00A5644C"/>
    <w:rsid w:val="00A5781D"/>
    <w:rsid w:val="00A638D9"/>
    <w:rsid w:val="00A74732"/>
    <w:rsid w:val="00AC4E47"/>
    <w:rsid w:val="00AE4FB3"/>
    <w:rsid w:val="00B05F29"/>
    <w:rsid w:val="00B12710"/>
    <w:rsid w:val="00B17CF8"/>
    <w:rsid w:val="00B34CEA"/>
    <w:rsid w:val="00B5556E"/>
    <w:rsid w:val="00B671B3"/>
    <w:rsid w:val="00B74C13"/>
    <w:rsid w:val="00B913E8"/>
    <w:rsid w:val="00BA2E42"/>
    <w:rsid w:val="00BA672C"/>
    <w:rsid w:val="00BE1E70"/>
    <w:rsid w:val="00C24A29"/>
    <w:rsid w:val="00C2789F"/>
    <w:rsid w:val="00C5530A"/>
    <w:rsid w:val="00CB0188"/>
    <w:rsid w:val="00CB3457"/>
    <w:rsid w:val="00CE066C"/>
    <w:rsid w:val="00D055C0"/>
    <w:rsid w:val="00D146CB"/>
    <w:rsid w:val="00D27AEC"/>
    <w:rsid w:val="00D301D0"/>
    <w:rsid w:val="00D429A5"/>
    <w:rsid w:val="00D46369"/>
    <w:rsid w:val="00D844E5"/>
    <w:rsid w:val="00DA5EBD"/>
    <w:rsid w:val="00DA638A"/>
    <w:rsid w:val="00DC15C7"/>
    <w:rsid w:val="00DD6824"/>
    <w:rsid w:val="00DF3D01"/>
    <w:rsid w:val="00E105AE"/>
    <w:rsid w:val="00E15223"/>
    <w:rsid w:val="00E2201A"/>
    <w:rsid w:val="00E22E1F"/>
    <w:rsid w:val="00E24DFC"/>
    <w:rsid w:val="00E3351F"/>
    <w:rsid w:val="00E41412"/>
    <w:rsid w:val="00E672E0"/>
    <w:rsid w:val="00EA2829"/>
    <w:rsid w:val="00EB3960"/>
    <w:rsid w:val="00ED614F"/>
    <w:rsid w:val="00EE06A9"/>
    <w:rsid w:val="00F12157"/>
    <w:rsid w:val="00F14774"/>
    <w:rsid w:val="00F34B8D"/>
    <w:rsid w:val="00F426B4"/>
    <w:rsid w:val="00F46943"/>
    <w:rsid w:val="00F511D6"/>
    <w:rsid w:val="00F53C03"/>
    <w:rsid w:val="00F63ECA"/>
    <w:rsid w:val="00F9544F"/>
    <w:rsid w:val="00FD0872"/>
    <w:rsid w:val="00FE03DF"/>
    <w:rsid w:val="00FE49B7"/>
    <w:rsid w:val="00FF1F11"/>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DC512-9E6A-4EB3-85C4-D26E3CD8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CE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3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DE"/>
    <w:rPr>
      <w:rFonts w:ascii="Segoe UI" w:hAnsi="Segoe UI" w:cs="Segoe UI"/>
      <w:sz w:val="18"/>
      <w:szCs w:val="18"/>
    </w:rPr>
  </w:style>
  <w:style w:type="paragraph" w:styleId="ListParagraph">
    <w:name w:val="List Paragraph"/>
    <w:basedOn w:val="Normal"/>
    <w:uiPriority w:val="34"/>
    <w:qFormat/>
    <w:rsid w:val="0031753C"/>
    <w:pPr>
      <w:spacing w:after="0" w:line="240" w:lineRule="auto"/>
      <w:ind w:left="720"/>
      <w:contextualSpacing/>
    </w:pPr>
    <w:rPr>
      <w:rFonts w:eastAsiaTheme="minorEastAsia"/>
      <w:sz w:val="24"/>
      <w:szCs w:val="24"/>
    </w:rPr>
  </w:style>
  <w:style w:type="paragraph" w:styleId="CommentText">
    <w:name w:val="annotation text"/>
    <w:basedOn w:val="Normal"/>
    <w:link w:val="CommentTextChar"/>
    <w:uiPriority w:val="99"/>
    <w:semiHidden/>
    <w:unhideWhenUsed/>
    <w:rsid w:val="008D1DA5"/>
    <w:pPr>
      <w:spacing w:line="240" w:lineRule="auto"/>
    </w:pPr>
    <w:rPr>
      <w:sz w:val="20"/>
      <w:szCs w:val="20"/>
    </w:rPr>
  </w:style>
  <w:style w:type="character" w:customStyle="1" w:styleId="CommentTextChar">
    <w:name w:val="Comment Text Char"/>
    <w:basedOn w:val="DefaultParagraphFont"/>
    <w:link w:val="CommentText"/>
    <w:uiPriority w:val="99"/>
    <w:semiHidden/>
    <w:rsid w:val="008D1DA5"/>
    <w:rPr>
      <w:sz w:val="20"/>
      <w:szCs w:val="20"/>
    </w:rPr>
  </w:style>
  <w:style w:type="paragraph" w:styleId="CommentSubject">
    <w:name w:val="annotation subject"/>
    <w:basedOn w:val="CommentText"/>
    <w:next w:val="CommentText"/>
    <w:link w:val="CommentSubjectChar"/>
    <w:uiPriority w:val="99"/>
    <w:semiHidden/>
    <w:unhideWhenUsed/>
    <w:rsid w:val="008D1DA5"/>
    <w:pPr>
      <w:spacing w:after="160"/>
    </w:pPr>
    <w:rPr>
      <w:b/>
      <w:bCs/>
    </w:rPr>
  </w:style>
  <w:style w:type="character" w:customStyle="1" w:styleId="CommentSubjectChar">
    <w:name w:val="Comment Subject Char"/>
    <w:basedOn w:val="CommentTextChar"/>
    <w:link w:val="CommentSubject"/>
    <w:uiPriority w:val="99"/>
    <w:semiHidden/>
    <w:rsid w:val="008D1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093104">
      <w:bodyDiv w:val="1"/>
      <w:marLeft w:val="0"/>
      <w:marRight w:val="0"/>
      <w:marTop w:val="0"/>
      <w:marBottom w:val="0"/>
      <w:divBdr>
        <w:top w:val="none" w:sz="0" w:space="0" w:color="auto"/>
        <w:left w:val="none" w:sz="0" w:space="0" w:color="auto"/>
        <w:bottom w:val="none" w:sz="0" w:space="0" w:color="auto"/>
        <w:right w:val="none" w:sz="0" w:space="0" w:color="auto"/>
      </w:divBdr>
      <w:divsChild>
        <w:div w:id="63844815">
          <w:marLeft w:val="547"/>
          <w:marRight w:val="0"/>
          <w:marTop w:val="154"/>
          <w:marBottom w:val="0"/>
          <w:divBdr>
            <w:top w:val="none" w:sz="0" w:space="0" w:color="auto"/>
            <w:left w:val="none" w:sz="0" w:space="0" w:color="auto"/>
            <w:bottom w:val="none" w:sz="0" w:space="0" w:color="auto"/>
            <w:right w:val="none" w:sz="0" w:space="0" w:color="auto"/>
          </w:divBdr>
        </w:div>
        <w:div w:id="3210877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K Malvick</dc:creator>
  <cp:keywords/>
  <dc:description/>
  <cp:lastModifiedBy>Michelle Chicos</cp:lastModifiedBy>
  <cp:revision>2</cp:revision>
  <cp:lastPrinted>2017-02-03T22:28:00Z</cp:lastPrinted>
  <dcterms:created xsi:type="dcterms:W3CDTF">2020-05-28T15:42:00Z</dcterms:created>
  <dcterms:modified xsi:type="dcterms:W3CDTF">2020-05-28T15:42:00Z</dcterms:modified>
</cp:coreProperties>
</file>