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08"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
        <w:gridCol w:w="3330"/>
        <w:gridCol w:w="5660"/>
      </w:tblGrid>
      <w:tr w:rsidR="009D5AFE" w:rsidRPr="009D5AFE" w:rsidTr="00CD3D61">
        <w:trPr>
          <w:gridBefore w:val="1"/>
          <w:wBefore w:w="18" w:type="dxa"/>
        </w:trPr>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color w:val="auto"/>
              </w:rPr>
            </w:pPr>
            <w:bookmarkStart w:id="0" w:name="_GoBack"/>
            <w:bookmarkEnd w:id="0"/>
            <w:r w:rsidRPr="009D5AFE">
              <w:rPr>
                <w:color w:val="auto"/>
              </w:rPr>
              <w:t xml:space="preserve">Project Number: </w:t>
            </w:r>
          </w:p>
        </w:tc>
        <w:tc>
          <w:tcPr>
            <w:tcW w:w="5660" w:type="dxa"/>
            <w:tcMar>
              <w:top w:w="43" w:type="dxa"/>
              <w:left w:w="0" w:type="dxa"/>
              <w:bottom w:w="43" w:type="dxa"/>
              <w:right w:w="0" w:type="dxa"/>
            </w:tcMar>
          </w:tcPr>
          <w:p w:rsidR="00335A26" w:rsidRPr="009D5AFE" w:rsidRDefault="00422911" w:rsidP="00C602B2">
            <w:r>
              <w:t>2020-162-0132</w:t>
            </w:r>
          </w:p>
        </w:tc>
      </w:tr>
      <w:tr w:rsidR="009D5AFE" w:rsidRPr="009D5AFE" w:rsidTr="00CD3D61">
        <w:trPr>
          <w:gridBefore w:val="1"/>
          <w:wBefore w:w="18" w:type="dxa"/>
        </w:trPr>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i/>
                <w:color w:val="auto"/>
              </w:rPr>
            </w:pPr>
            <w:r w:rsidRPr="009D5AFE">
              <w:rPr>
                <w:color w:val="auto"/>
              </w:rPr>
              <w:t xml:space="preserve">Project Title: </w:t>
            </w:r>
          </w:p>
        </w:tc>
        <w:tc>
          <w:tcPr>
            <w:tcW w:w="5660" w:type="dxa"/>
            <w:tcMar>
              <w:top w:w="43" w:type="dxa"/>
              <w:left w:w="0" w:type="dxa"/>
              <w:bottom w:w="43" w:type="dxa"/>
              <w:right w:w="0" w:type="dxa"/>
            </w:tcMar>
          </w:tcPr>
          <w:p w:rsidR="00335A26" w:rsidRPr="00422911" w:rsidRDefault="00422911" w:rsidP="00422911">
            <w:pPr>
              <w:tabs>
                <w:tab w:val="left" w:pos="8064"/>
              </w:tabs>
              <w:rPr>
                <w:rFonts w:ascii="Times New Roman" w:eastAsia="MS Mincho" w:hAnsi="Times New Roman" w:cs="Times New Roman"/>
              </w:rPr>
            </w:pPr>
            <w:r w:rsidRPr="00422911">
              <w:t>Non-GMO High Oleic Low Linolenic Soybean Commercialization and Variety Expansion</w:t>
            </w:r>
          </w:p>
        </w:tc>
      </w:tr>
      <w:tr w:rsidR="009D5AFE" w:rsidRPr="009D5AFE" w:rsidTr="00CD3D61">
        <w:trPr>
          <w:gridBefore w:val="1"/>
          <w:wBefore w:w="18" w:type="dxa"/>
        </w:trPr>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color w:val="auto"/>
              </w:rPr>
            </w:pPr>
            <w:r>
              <w:rPr>
                <w:color w:val="auto"/>
              </w:rPr>
              <w:t>Organization</w:t>
            </w:r>
            <w:r w:rsidR="00335A26" w:rsidRPr="009D5AFE">
              <w:rPr>
                <w:color w:val="auto"/>
              </w:rPr>
              <w:t xml:space="preserve">: </w:t>
            </w:r>
          </w:p>
        </w:tc>
        <w:tc>
          <w:tcPr>
            <w:tcW w:w="5660" w:type="dxa"/>
            <w:tcMar>
              <w:top w:w="43" w:type="dxa"/>
              <w:left w:w="0" w:type="dxa"/>
              <w:bottom w:w="43" w:type="dxa"/>
              <w:right w:w="0" w:type="dxa"/>
            </w:tcMar>
          </w:tcPr>
          <w:p w:rsidR="00335A26" w:rsidRPr="009D5AFE" w:rsidRDefault="00422911" w:rsidP="00C602B2">
            <w:r>
              <w:t>Clutch</w:t>
            </w:r>
          </w:p>
        </w:tc>
      </w:tr>
      <w:tr w:rsidR="009D5AFE" w:rsidRPr="009D5AFE" w:rsidTr="00CD3D61">
        <w:trPr>
          <w:gridBefore w:val="1"/>
          <w:wBefore w:w="18" w:type="dxa"/>
        </w:trPr>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i/>
                <w:color w:val="auto"/>
              </w:rPr>
            </w:pPr>
            <w:r>
              <w:rPr>
                <w:color w:val="auto"/>
              </w:rPr>
              <w:t>Principal Investigator Name:</w:t>
            </w:r>
          </w:p>
        </w:tc>
        <w:tc>
          <w:tcPr>
            <w:tcW w:w="5660" w:type="dxa"/>
            <w:tcMar>
              <w:top w:w="43" w:type="dxa"/>
              <w:left w:w="0" w:type="dxa"/>
              <w:bottom w:w="43" w:type="dxa"/>
              <w:right w:w="0" w:type="dxa"/>
            </w:tcMar>
          </w:tcPr>
          <w:p w:rsidR="00335A26" w:rsidRPr="009D5AFE" w:rsidRDefault="00422911" w:rsidP="00C602B2">
            <w:r>
              <w:t>David Miller</w:t>
            </w:r>
          </w:p>
        </w:tc>
      </w:tr>
      <w:tr w:rsidR="00C06E1E" w:rsidRPr="009D5AFE" w:rsidTr="00CD3D61">
        <w:trPr>
          <w:gridBefore w:val="1"/>
          <w:wBefore w:w="18" w:type="dxa"/>
        </w:trPr>
        <w:tc>
          <w:tcPr>
            <w:tcW w:w="8990" w:type="dxa"/>
            <w:gridSpan w:val="2"/>
            <w:shd w:val="clear" w:color="auto" w:fill="FFFF99"/>
            <w:tcMar>
              <w:top w:w="43" w:type="dxa"/>
              <w:left w:w="0" w:type="dxa"/>
              <w:bottom w:w="43" w:type="dxa"/>
              <w:right w:w="0" w:type="dxa"/>
            </w:tcMar>
          </w:tcPr>
          <w:p w:rsidR="00C06E1E" w:rsidRPr="00CE7303" w:rsidRDefault="00C06E1E" w:rsidP="00C06E1E">
            <w:pPr>
              <w:tabs>
                <w:tab w:val="left" w:pos="358"/>
              </w:tabs>
              <w:rPr>
                <w:rFonts w:asciiTheme="minorHAnsi" w:hAnsiTheme="minorHAnsi" w:cstheme="minorHAnsi"/>
              </w:rPr>
            </w:pPr>
            <w:r w:rsidRPr="006A3912">
              <w:rPr>
                <w:rFonts w:eastAsia="MS Gothic" w:cstheme="minorHAnsi"/>
                <w:b/>
                <w:sz w:val="16"/>
                <w:szCs w:val="16"/>
              </w:rPr>
              <w:t>National Soybean Checkoff Research Database</w:t>
            </w:r>
            <w:r w:rsidRPr="006A3912">
              <w:rPr>
                <w:b/>
                <w:sz w:val="16"/>
                <w:szCs w:val="16"/>
              </w:rPr>
              <w:t xml:space="preserve"> </w:t>
            </w:r>
            <w:hyperlink r:id="rId8" w:history="1">
              <w:r w:rsidRPr="006A3912">
                <w:rPr>
                  <w:b/>
                  <w:color w:val="0000FF"/>
                  <w:sz w:val="16"/>
                  <w:szCs w:val="16"/>
                  <w:u w:val="single"/>
                </w:rPr>
                <w:t>https://www.soybeanresearchdata.com/</w:t>
              </w:r>
            </w:hyperlink>
            <w:r w:rsidRPr="006A3912">
              <w:rPr>
                <w:b/>
                <w:sz w:val="16"/>
                <w:szCs w:val="16"/>
              </w:rPr>
              <w:t xml:space="preserve"> (public website funded by USB</w:t>
            </w:r>
            <w:r>
              <w:rPr>
                <w:b/>
                <w:sz w:val="16"/>
                <w:szCs w:val="16"/>
              </w:rPr>
              <w:t>)</w:t>
            </w:r>
            <w:r w:rsidRPr="006A3912">
              <w:rPr>
                <w:b/>
                <w:sz w:val="16"/>
                <w:szCs w:val="16"/>
              </w:rPr>
              <w:t xml:space="preserve">.  Please include a non-technical </w:t>
            </w:r>
            <w:r>
              <w:rPr>
                <w:b/>
                <w:sz w:val="16"/>
                <w:szCs w:val="16"/>
              </w:rPr>
              <w:t>summary</w:t>
            </w:r>
            <w:r w:rsidRPr="006A3912">
              <w:rPr>
                <w:b/>
                <w:sz w:val="16"/>
                <w:szCs w:val="16"/>
              </w:rPr>
              <w:t xml:space="preserve"> along with your project status.  The non-technical summary will be published to the website.  </w:t>
            </w:r>
            <w:r w:rsidRPr="006A3912">
              <w:rPr>
                <w:b/>
                <w:sz w:val="16"/>
                <w:szCs w:val="16"/>
                <w:u w:val="single"/>
              </w:rPr>
              <w:t>If a non-technical summary is not provided, the contents of this entire report will be published</w:t>
            </w:r>
            <w:r w:rsidRPr="006A3912">
              <w:rPr>
                <w:b/>
                <w:sz w:val="16"/>
                <w:szCs w:val="16"/>
              </w:rPr>
              <w:t>.</w:t>
            </w:r>
          </w:p>
        </w:tc>
      </w:tr>
      <w:tr w:rsidR="00773484" w:rsidTr="00CD3D61">
        <w:trPr>
          <w:gridBefore w:val="1"/>
          <w:wBefore w:w="18" w:type="dxa"/>
          <w:trHeight w:val="1180"/>
        </w:trPr>
        <w:tc>
          <w:tcPr>
            <w:tcW w:w="8990" w:type="dxa"/>
            <w:gridSpan w:val="2"/>
            <w:tcMar>
              <w:top w:w="43" w:type="dxa"/>
              <w:left w:w="0" w:type="dxa"/>
              <w:bottom w:w="43" w:type="dxa"/>
              <w:right w:w="0" w:type="dxa"/>
            </w:tcMar>
          </w:tcPr>
          <w:p w:rsidR="00773484" w:rsidRPr="00693D9D" w:rsidRDefault="00773484" w:rsidP="00F070B4">
            <w:pPr>
              <w:pStyle w:val="Heading2"/>
              <w:numPr>
                <w:ilvl w:val="0"/>
                <w:numId w:val="0"/>
              </w:numPr>
              <w:ind w:left="576" w:hanging="576"/>
              <w:outlineLvl w:val="1"/>
              <w:rPr>
                <w:b w:val="0"/>
              </w:rPr>
            </w:pPr>
            <w:r w:rsidRPr="008041BE">
              <w:t xml:space="preserve">Project </w:t>
            </w:r>
            <w:r w:rsidR="008041BE">
              <w:t>Status</w:t>
            </w:r>
            <w:r w:rsidR="00FF4F4F" w:rsidRPr="008041BE">
              <w:t xml:space="preserve"> - </w:t>
            </w:r>
            <w:r w:rsidR="00FF4F4F" w:rsidRPr="008041BE">
              <w:rPr>
                <w:b w:val="0"/>
              </w:rPr>
              <w:t xml:space="preserve">What </w:t>
            </w:r>
            <w:r w:rsidR="0025429E" w:rsidRPr="008041BE">
              <w:rPr>
                <w:b w:val="0"/>
              </w:rPr>
              <w:t xml:space="preserve">key activities were undertaken and what were the key </w:t>
            </w:r>
            <w:r w:rsidR="00FF4F4F" w:rsidRPr="008041BE">
              <w:rPr>
                <w:b w:val="0"/>
              </w:rPr>
              <w:t>accomplis</w:t>
            </w:r>
            <w:r w:rsidR="0025429E" w:rsidRPr="008041BE">
              <w:rPr>
                <w:b w:val="0"/>
              </w:rPr>
              <w:t>hments</w:t>
            </w:r>
            <w:r w:rsidR="00FF4F4F" w:rsidRPr="008041BE">
              <w:rPr>
                <w:b w:val="0"/>
              </w:rPr>
              <w:t xml:space="preserve"> during the life of </w:t>
            </w:r>
            <w:r w:rsidR="004C0762" w:rsidRPr="008041BE">
              <w:rPr>
                <w:b w:val="0"/>
              </w:rPr>
              <w:t>this</w:t>
            </w:r>
            <w:r w:rsidR="00FF4F4F" w:rsidRPr="008041BE">
              <w:rPr>
                <w:b w:val="0"/>
              </w:rPr>
              <w:t xml:space="preserve"> project</w:t>
            </w:r>
            <w:r w:rsidR="00083E61" w:rsidRPr="008041BE">
              <w:rPr>
                <w:b w:val="0"/>
              </w:rPr>
              <w:t>?</w:t>
            </w:r>
            <w:r w:rsidR="00693D9D" w:rsidRPr="008041BE">
              <w:rPr>
                <w:b w:val="0"/>
              </w:rPr>
              <w:t xml:space="preserve">  </w:t>
            </w:r>
            <w:r w:rsidR="008041BE" w:rsidRPr="008041BE">
              <w:rPr>
                <w:b w:val="0"/>
              </w:rPr>
              <w:t xml:space="preserve">Please use this field to clearly and concisely report on project progress.  The information included should reflect quantifiable results </w:t>
            </w:r>
            <w:r w:rsidR="00F070B4">
              <w:rPr>
                <w:b w:val="0"/>
              </w:rPr>
              <w:t xml:space="preserve">(expand upon the KPIs) </w:t>
            </w:r>
            <w:r w:rsidR="008041BE" w:rsidRPr="008041BE">
              <w:rPr>
                <w:b w:val="0"/>
              </w:rPr>
              <w:t xml:space="preserve">that can be used to evaluate and measure project success.  Technical reports, no longer than 4 pages, may be </w:t>
            </w:r>
            <w:r w:rsidR="00F070B4">
              <w:rPr>
                <w:b w:val="0"/>
              </w:rPr>
              <w:t xml:space="preserve">included in this section.  </w:t>
            </w:r>
          </w:p>
        </w:tc>
      </w:tr>
      <w:tr w:rsidR="00773484" w:rsidTr="00CD3D61">
        <w:trPr>
          <w:gridBefore w:val="1"/>
          <w:wBefore w:w="18" w:type="dxa"/>
          <w:trHeight w:val="4609"/>
        </w:trPr>
        <w:tc>
          <w:tcPr>
            <w:tcW w:w="8990" w:type="dxa"/>
            <w:gridSpan w:val="2"/>
            <w:tcMar>
              <w:top w:w="43" w:type="dxa"/>
              <w:left w:w="0" w:type="dxa"/>
              <w:bottom w:w="43" w:type="dxa"/>
              <w:right w:w="0" w:type="dxa"/>
            </w:tcMar>
          </w:tcPr>
          <w:p w:rsidR="0078486C" w:rsidRDefault="0078486C" w:rsidP="0078486C">
            <w:r>
              <w:t>This project intended to advance the development and commercialization of non-</w:t>
            </w:r>
            <w:proofErr w:type="spellStart"/>
            <w:r>
              <w:t>gmo</w:t>
            </w:r>
            <w:proofErr w:type="spellEnd"/>
            <w:r>
              <w:t xml:space="preserve"> high oleic soybean varieties that serve the MN, ND and SD region.  The project </w:t>
            </w:r>
            <w:r w:rsidR="002E3868">
              <w:t>had three primary activity tracks:</w:t>
            </w:r>
          </w:p>
          <w:p w:rsidR="002E3868" w:rsidRDefault="002E3868" w:rsidP="00AB36BB">
            <w:pPr>
              <w:pStyle w:val="ListParagraph"/>
              <w:numPr>
                <w:ilvl w:val="0"/>
                <w:numId w:val="6"/>
              </w:numPr>
            </w:pPr>
            <w:r>
              <w:t>Advancing development of non-</w:t>
            </w:r>
            <w:proofErr w:type="spellStart"/>
            <w:r>
              <w:t>gmo</w:t>
            </w:r>
            <w:proofErr w:type="spellEnd"/>
            <w:r>
              <w:t xml:space="preserve"> high oleic varieties</w:t>
            </w:r>
          </w:p>
          <w:p w:rsidR="002E3868" w:rsidRDefault="002E3868" w:rsidP="00AB36BB">
            <w:pPr>
              <w:pStyle w:val="ListParagraph"/>
              <w:numPr>
                <w:ilvl w:val="0"/>
                <w:numId w:val="6"/>
              </w:numPr>
            </w:pPr>
            <w:r>
              <w:t>Building awareness among growers of the opportunity to plant non-</w:t>
            </w:r>
            <w:proofErr w:type="spellStart"/>
            <w:r>
              <w:t>gmo</w:t>
            </w:r>
            <w:proofErr w:type="spellEnd"/>
            <w:r>
              <w:t xml:space="preserve"> high oleic</w:t>
            </w:r>
          </w:p>
          <w:p w:rsidR="002E3868" w:rsidRDefault="002E3868" w:rsidP="00AB36BB">
            <w:pPr>
              <w:pStyle w:val="ListParagraph"/>
              <w:numPr>
                <w:ilvl w:val="0"/>
                <w:numId w:val="6"/>
              </w:numPr>
            </w:pPr>
            <w:r>
              <w:t>Build awareness and demand for non-</w:t>
            </w:r>
            <w:proofErr w:type="spellStart"/>
            <w:r>
              <w:t>gmo</w:t>
            </w:r>
            <w:proofErr w:type="spellEnd"/>
            <w:r>
              <w:t xml:space="preserve"> high oleic soybean oil among food companies.</w:t>
            </w:r>
          </w:p>
          <w:p w:rsidR="0078486C" w:rsidRDefault="0078486C" w:rsidP="0078486C"/>
          <w:p w:rsidR="0078486C" w:rsidRDefault="0078486C" w:rsidP="0078486C">
            <w:r>
              <w:t xml:space="preserve">The research and development of non-GMO high oleic soybean varieties through </w:t>
            </w:r>
            <w:proofErr w:type="spellStart"/>
            <w:r>
              <w:t>Brushvale</w:t>
            </w:r>
            <w:proofErr w:type="spellEnd"/>
            <w:r>
              <w:t xml:space="preserve"> Seed progressed nicely over the past year. </w:t>
            </w:r>
            <w:r w:rsidR="002E3868">
              <w:t xml:space="preserve"> </w:t>
            </w:r>
            <w:r>
              <w:t xml:space="preserve">There were a few </w:t>
            </w:r>
            <w:r w:rsidR="00B1784B">
              <w:t xml:space="preserve">unexpected developments during the year </w:t>
            </w:r>
            <w:r>
              <w:t xml:space="preserve">but overall progress </w:t>
            </w:r>
            <w:proofErr w:type="gramStart"/>
            <w:r>
              <w:t>was made</w:t>
            </w:r>
            <w:proofErr w:type="gramEnd"/>
            <w:r>
              <w:t xml:space="preserve"> to begin introducing new varieties into the future lineup.  </w:t>
            </w:r>
          </w:p>
          <w:p w:rsidR="0078486C" w:rsidRDefault="0078486C" w:rsidP="0078486C"/>
          <w:p w:rsidR="0078486C" w:rsidRDefault="0078486C" w:rsidP="0078486C">
            <w:r>
              <w:t xml:space="preserve">Due to the wet, late and cold fall in 2019, there was very little time to get </w:t>
            </w:r>
            <w:r w:rsidR="00B1784B">
              <w:t xml:space="preserve">MN-grown soybeans </w:t>
            </w:r>
            <w:r>
              <w:t>harvested and sent to winter nursery</w:t>
            </w:r>
            <w:r w:rsidR="00B1784B">
              <w:t xml:space="preserve"> in Chile</w:t>
            </w:r>
            <w:r>
              <w:t xml:space="preserve">. </w:t>
            </w:r>
            <w:r w:rsidR="00B1784B">
              <w:t xml:space="preserve"> A decision was made to </w:t>
            </w:r>
            <w:r>
              <w:t>to focus on bulk selections since they could be grown and then selected as new varieties for first year yield testing in 2020.</w:t>
            </w:r>
            <w:r w:rsidR="00B1784B">
              <w:t xml:space="preserve">  This provided the best path forward in advancing the development.</w:t>
            </w:r>
            <w:r>
              <w:t xml:space="preserve">  Thus, F4 plants were selected and F4:5 rows were sent and produced in Chile for 2019-2020 winter. Roughly 5% of the progeny rows which included the desired high oleic, low linolenic and protein combinations were harvested there and sent back to us.  These selections were then grouped into tests to compare with top industry varieties. There were 19 preliminary Chile tests set</w:t>
            </w:r>
            <w:r w:rsidR="00B1784B">
              <w:t xml:space="preserve"> </w:t>
            </w:r>
            <w:r>
              <w:t xml:space="preserve">up and all </w:t>
            </w:r>
            <w:r w:rsidR="00B1784B">
              <w:t xml:space="preserve">were </w:t>
            </w:r>
            <w:r>
              <w:t>grown in 2 rep</w:t>
            </w:r>
            <w:r w:rsidR="00B1784B">
              <w:t>.</w:t>
            </w:r>
            <w:r>
              <w:t xml:space="preserve"> yield trials at 5 different locations throughout the Red River Valley.  The 2020 crop season was a very good year in terms of weather conditions and all yield trial locations had nice variability which provided valuable data for all entries.</w:t>
            </w:r>
          </w:p>
          <w:p w:rsidR="0078486C" w:rsidRDefault="0078486C" w:rsidP="0078486C"/>
          <w:p w:rsidR="0078486C" w:rsidRDefault="0078486C" w:rsidP="0078486C">
            <w:r>
              <w:t xml:space="preserve">Since 2019 fall conditions made </w:t>
            </w:r>
            <w:proofErr w:type="spellStart"/>
            <w:r w:rsidR="00B1784B">
              <w:t>Brushvale</w:t>
            </w:r>
            <w:proofErr w:type="spellEnd"/>
            <w:r>
              <w:t xml:space="preserve"> unable to get the newer populations packaged and sent south for two generation advancements in adequate time for planting 2020, </w:t>
            </w:r>
            <w:proofErr w:type="spellStart"/>
            <w:r w:rsidR="00B1784B">
              <w:t>Brushvale</w:t>
            </w:r>
            <w:proofErr w:type="spellEnd"/>
            <w:r>
              <w:t xml:space="preserve"> decided to send them to Costa Rica for 2-3 generation advancements.  Hence, </w:t>
            </w:r>
            <w:proofErr w:type="spellStart"/>
            <w:r w:rsidR="00B1784B">
              <w:t>Brushvale</w:t>
            </w:r>
            <w:proofErr w:type="spellEnd"/>
            <w:r>
              <w:t xml:space="preserve"> will be planting approximately 125 bulk populations in 2021 which includes all F1, F2 and F3 material from 2019.</w:t>
            </w:r>
          </w:p>
          <w:p w:rsidR="0078486C" w:rsidRDefault="0078486C" w:rsidP="0078486C"/>
          <w:p w:rsidR="0078486C" w:rsidRDefault="0078486C" w:rsidP="0078486C">
            <w:r>
              <w:t xml:space="preserve">The molecular marker lab that </w:t>
            </w:r>
            <w:r w:rsidR="00B1784B">
              <w:t>had been used</w:t>
            </w:r>
            <w:r>
              <w:t xml:space="preserve"> for high oleic and low linolenic testing decided to no longer run samples for </w:t>
            </w:r>
            <w:proofErr w:type="spellStart"/>
            <w:r w:rsidR="00B1784B">
              <w:t>Brushvale</w:t>
            </w:r>
            <w:proofErr w:type="spellEnd"/>
            <w:r w:rsidR="00B1784B">
              <w:t xml:space="preserve">.  This caused a temporary setback while a new resource was found.  </w:t>
            </w:r>
            <w:r>
              <w:t xml:space="preserve">In the meantime, we have been working on calibrating our </w:t>
            </w:r>
            <w:proofErr w:type="spellStart"/>
            <w:r>
              <w:t>Perten</w:t>
            </w:r>
            <w:proofErr w:type="spellEnd"/>
            <w:r>
              <w:t xml:space="preserve"> NIR machine and making selections based on the fatty acid results from this.  By sending soybean samples in for wet chem in order to get biasing set </w:t>
            </w:r>
            <w:proofErr w:type="spellStart"/>
            <w:r w:rsidR="00B1784B">
              <w:t>Brushvale</w:t>
            </w:r>
            <w:proofErr w:type="spellEnd"/>
            <w:r w:rsidR="00B1784B">
              <w:t xml:space="preserve"> is</w:t>
            </w:r>
            <w:r>
              <w:t xml:space="preserve"> able to make first selections off this data.  </w:t>
            </w:r>
            <w:r w:rsidR="00B1784B">
              <w:t>A</w:t>
            </w:r>
            <w:r>
              <w:t xml:space="preserve"> new lab for the molecular markers </w:t>
            </w:r>
            <w:r w:rsidR="00B1784B">
              <w:t xml:space="preserve">is now being used and </w:t>
            </w:r>
            <w:r>
              <w:t xml:space="preserve">will </w:t>
            </w:r>
            <w:r w:rsidR="00B1784B">
              <w:t xml:space="preserve">enable </w:t>
            </w:r>
            <w:r>
              <w:t>continue</w:t>
            </w:r>
            <w:r w:rsidR="00B1784B">
              <w:t>d</w:t>
            </w:r>
            <w:r>
              <w:t xml:space="preserve"> sending the advanced material to for trait confirmation.</w:t>
            </w:r>
          </w:p>
          <w:p w:rsidR="00B1784B" w:rsidRDefault="00B1784B" w:rsidP="0078486C"/>
          <w:p w:rsidR="00793484" w:rsidRDefault="00793484" w:rsidP="0078486C">
            <w:r>
              <w:t>Throughout the project, a number of activities created awareness of the opportunity to grow non-</w:t>
            </w:r>
            <w:proofErr w:type="spellStart"/>
            <w:r>
              <w:t>gmo</w:t>
            </w:r>
            <w:proofErr w:type="spellEnd"/>
            <w:r>
              <w:t xml:space="preserve"> high oleic soybeans among farmers in the tri-state region.  Early in the project, a sell story to growers was developed as was a direct mail letter that was sent to more than 1,000 growers in the region.  In late </w:t>
            </w:r>
            <w:r>
              <w:lastRenderedPageBreak/>
              <w:t xml:space="preserve">2019/early 2020, </w:t>
            </w:r>
            <w:proofErr w:type="spellStart"/>
            <w:r>
              <w:t>Brushvale</w:t>
            </w:r>
            <w:proofErr w:type="spellEnd"/>
            <w:r>
              <w:t xml:space="preserve"> participated in the MN Ag Expo as well as made presentations at SD soybean grower meetings.  These activities allowed </w:t>
            </w:r>
            <w:proofErr w:type="spellStart"/>
            <w:r>
              <w:t>Brushvale</w:t>
            </w:r>
            <w:proofErr w:type="spellEnd"/>
            <w:r>
              <w:t xml:space="preserve"> to expose non-</w:t>
            </w:r>
            <w:proofErr w:type="spellStart"/>
            <w:r>
              <w:t>gmo</w:t>
            </w:r>
            <w:proofErr w:type="spellEnd"/>
            <w:r>
              <w:t xml:space="preserve"> high oleic to hundreds of growers.  </w:t>
            </w:r>
          </w:p>
          <w:p w:rsidR="00793484" w:rsidRDefault="00793484" w:rsidP="0078486C"/>
          <w:p w:rsidR="00B1784B" w:rsidRDefault="00793484" w:rsidP="0078486C">
            <w:r>
              <w:t xml:space="preserve">The COVID outbreak in early 2020 caused the cancellation of several other trade outreach activities planned for the balance of the fiscal year.  The team rescoped and requested a budget reallocation to </w:t>
            </w:r>
            <w:r w:rsidR="009A6591">
              <w:t>support grower development through execution of two plot days in late August as well as a paid online content package through Farm Progress.</w:t>
            </w:r>
          </w:p>
          <w:p w:rsidR="009A6591" w:rsidRDefault="009A6591" w:rsidP="0078486C"/>
          <w:p w:rsidR="009A6591" w:rsidRDefault="009A6591" w:rsidP="0078486C">
            <w:r>
              <w:t xml:space="preserve">Clutch and </w:t>
            </w:r>
            <w:proofErr w:type="spellStart"/>
            <w:r>
              <w:t>Brushvale</w:t>
            </w:r>
            <w:proofErr w:type="spellEnd"/>
            <w:r>
              <w:t xml:space="preserve"> </w:t>
            </w:r>
            <w:proofErr w:type="gramStart"/>
            <w:r>
              <w:t>partnered</w:t>
            </w:r>
            <w:proofErr w:type="gramEnd"/>
            <w:r>
              <w:t xml:space="preserve"> with Farm Progress to film a 5 minute editorial-style video.  The video focused on the opportunity to improve margins with identity preserved soybeans and highlighted the non-</w:t>
            </w:r>
            <w:proofErr w:type="spellStart"/>
            <w:r>
              <w:t>gmo</w:t>
            </w:r>
            <w:proofErr w:type="spellEnd"/>
            <w:r>
              <w:t xml:space="preserve"> high oleic.  The video was distributed on multiple Farm Progress online media properties.  The video received more than 300,000 impressions across their network and, as part of their emailed content, received more than 1,000 unique opens and more than 2,600 opens.  These numbers were unparalleled by previous Farm Progress programs, demonstrating the relevance of the topic. </w:t>
            </w:r>
          </w:p>
          <w:p w:rsidR="009A6591" w:rsidRDefault="009A6591" w:rsidP="0078486C"/>
          <w:p w:rsidR="009A6591" w:rsidRDefault="009A6591" w:rsidP="0078486C">
            <w:r>
              <w:t>The two plot days featured presentation of the non-</w:t>
            </w:r>
            <w:proofErr w:type="spellStart"/>
            <w:r>
              <w:t>gmo</w:t>
            </w:r>
            <w:proofErr w:type="spellEnd"/>
            <w:r>
              <w:t xml:space="preserve"> high oleic soybean opportunity, a tour of </w:t>
            </w:r>
            <w:proofErr w:type="spellStart"/>
            <w:r>
              <w:t>Brushvale’s</w:t>
            </w:r>
            <w:proofErr w:type="spellEnd"/>
            <w:r>
              <w:t xml:space="preserve"> facility and a product tasting of items fried in non-</w:t>
            </w:r>
            <w:proofErr w:type="spellStart"/>
            <w:r>
              <w:t>gmo</w:t>
            </w:r>
            <w:proofErr w:type="spellEnd"/>
            <w:r>
              <w:t xml:space="preserve"> high oleic soybean oil.  More than 50 growers with operations close to </w:t>
            </w:r>
            <w:proofErr w:type="spellStart"/>
            <w:r>
              <w:t>Brushvale’s</w:t>
            </w:r>
            <w:proofErr w:type="spellEnd"/>
            <w:r>
              <w:t xml:space="preserve"> location attended the events across the two days</w:t>
            </w:r>
          </w:p>
          <w:p w:rsidR="007823B2" w:rsidRDefault="007823B2" w:rsidP="0041728E"/>
          <w:p w:rsidR="009A6591" w:rsidRDefault="00BC62E3" w:rsidP="0041728E">
            <w:r>
              <w:t xml:space="preserve">Simultaneous to grower recruitment, Clutch was also focused on developing awareness and demand among regional and small to medium scale food manufacturers.  To enable selling to the food trade, Clutch executed a processing, refining and testing project in late 2019.  This project provided test results that demonstrated </w:t>
            </w:r>
            <w:proofErr w:type="spellStart"/>
            <w:r>
              <w:t>Brushvale’s</w:t>
            </w:r>
            <w:proofErr w:type="spellEnd"/>
            <w:r>
              <w:t xml:space="preserve"> non-</w:t>
            </w:r>
            <w:proofErr w:type="spellStart"/>
            <w:r>
              <w:t>gmo</w:t>
            </w:r>
            <w:proofErr w:type="spellEnd"/>
            <w:r>
              <w:t xml:space="preserve"> HO oil performed consistently with other HOSO and delivered an updated fatty acid profile and smoke point.  This data was incorporated into a sell story to communicate the </w:t>
            </w:r>
            <w:proofErr w:type="spellStart"/>
            <w:r>
              <w:t>beneifts</w:t>
            </w:r>
            <w:proofErr w:type="spellEnd"/>
            <w:r>
              <w:t xml:space="preserve"> to end users.</w:t>
            </w:r>
          </w:p>
          <w:p w:rsidR="00BC62E3" w:rsidRDefault="00BC62E3" w:rsidP="0041728E"/>
          <w:p w:rsidR="00BC62E3" w:rsidRDefault="00BC62E3" w:rsidP="0041728E">
            <w:r>
              <w:t xml:space="preserve">Direct outreach was conducted to a set of more than 50 processors, food companies, oil distributors and foodservice outlets.  A number of phone meetings occurred and at least two oil distributing companies are interested in exploring the opportunity to distribute </w:t>
            </w:r>
            <w:proofErr w:type="spellStart"/>
            <w:r>
              <w:t>Brushvale’s</w:t>
            </w:r>
            <w:proofErr w:type="spellEnd"/>
            <w:r>
              <w:t xml:space="preserve"> non-</w:t>
            </w:r>
            <w:proofErr w:type="spellStart"/>
            <w:r>
              <w:t>gmo</w:t>
            </w:r>
            <w:proofErr w:type="spellEnd"/>
            <w:r>
              <w:t xml:space="preserve"> HO oil.  The companies are currently in meetings to explore the opportunity.</w:t>
            </w:r>
          </w:p>
          <w:p w:rsidR="00BC62E3" w:rsidRDefault="00BC62E3" w:rsidP="0041728E"/>
        </w:tc>
      </w:tr>
      <w:tr w:rsidR="00F070B4" w:rsidTr="00CD3D61">
        <w:trPr>
          <w:gridBefore w:val="1"/>
          <w:wBefore w:w="18" w:type="dxa"/>
        </w:trPr>
        <w:tc>
          <w:tcPr>
            <w:tcW w:w="8990" w:type="dxa"/>
            <w:gridSpan w:val="2"/>
            <w:tcMar>
              <w:top w:w="43" w:type="dxa"/>
              <w:left w:w="0" w:type="dxa"/>
              <w:bottom w:w="43" w:type="dxa"/>
              <w:right w:w="0" w:type="dxa"/>
            </w:tcMar>
          </w:tcPr>
          <w:p w:rsidR="00F070B4" w:rsidRDefault="00F070B4" w:rsidP="00491CE6">
            <w:pPr>
              <w:pStyle w:val="Heading2"/>
              <w:numPr>
                <w:ilvl w:val="0"/>
                <w:numId w:val="0"/>
              </w:numPr>
              <w:ind w:left="576" w:hanging="576"/>
              <w:outlineLvl w:val="1"/>
            </w:pPr>
            <w:r>
              <w:lastRenderedPageBreak/>
              <w:t xml:space="preserve">Did this project meet the intended Key Performance Indicators (KPIs)? </w:t>
            </w:r>
            <w:r w:rsidRPr="00FF4F4F">
              <w:rPr>
                <w:b w:val="0"/>
              </w:rPr>
              <w:t xml:space="preserve">List each KPI and </w:t>
            </w:r>
            <w:r>
              <w:rPr>
                <w:b w:val="0"/>
              </w:rPr>
              <w:t xml:space="preserve">describe progress made (or not made) toward addressing it, including metrics where appropriate.  </w:t>
            </w:r>
          </w:p>
        </w:tc>
      </w:tr>
      <w:tr w:rsidR="00F070B4" w:rsidTr="00CD3D61">
        <w:trPr>
          <w:gridBefore w:val="1"/>
          <w:wBefore w:w="18" w:type="dxa"/>
          <w:trHeight w:val="2755"/>
        </w:trPr>
        <w:tc>
          <w:tcPr>
            <w:tcW w:w="8990" w:type="dxa"/>
            <w:gridSpan w:val="2"/>
            <w:tcMar>
              <w:top w:w="43" w:type="dxa"/>
              <w:left w:w="0" w:type="dxa"/>
              <w:bottom w:w="43" w:type="dxa"/>
              <w:right w:w="0" w:type="dxa"/>
            </w:tcMar>
          </w:tcPr>
          <w:p w:rsidR="00422911" w:rsidRPr="00BC62E3" w:rsidRDefault="00422911" w:rsidP="00422911">
            <w:pPr>
              <w:spacing w:after="200" w:line="276" w:lineRule="auto"/>
              <w:rPr>
                <w:rFonts w:cs="Times New Roman"/>
                <w:szCs w:val="18"/>
              </w:rPr>
            </w:pPr>
            <w:r w:rsidRPr="00BC62E3">
              <w:rPr>
                <w:rFonts w:cs="Times New Roman"/>
                <w:szCs w:val="18"/>
              </w:rPr>
              <w:t>The following seven KPIs were established for the project.  Each is listed with results below the individual item.</w:t>
            </w:r>
          </w:p>
          <w:p w:rsidR="00422911" w:rsidRPr="00BC62E3" w:rsidRDefault="00422911" w:rsidP="00AB36BB">
            <w:pPr>
              <w:pStyle w:val="ListParagraph"/>
              <w:numPr>
                <w:ilvl w:val="0"/>
                <w:numId w:val="4"/>
              </w:numPr>
              <w:spacing w:after="200" w:line="276" w:lineRule="auto"/>
              <w:ind w:left="439"/>
              <w:rPr>
                <w:rFonts w:cs="Times New Roman"/>
                <w:szCs w:val="18"/>
              </w:rPr>
            </w:pPr>
            <w:r w:rsidRPr="00BC62E3">
              <w:rPr>
                <w:rFonts w:cs="Times New Roman"/>
                <w:szCs w:val="18"/>
              </w:rPr>
              <w:t>Online presence and two pieces of sales collateral completed in advance of selling window.</w:t>
            </w:r>
          </w:p>
          <w:p w:rsidR="00422911" w:rsidRPr="00BC62E3" w:rsidRDefault="00422911" w:rsidP="00AB36BB">
            <w:pPr>
              <w:pStyle w:val="ListParagraph"/>
              <w:numPr>
                <w:ilvl w:val="1"/>
                <w:numId w:val="4"/>
              </w:numPr>
              <w:spacing w:after="200" w:line="276" w:lineRule="auto"/>
              <w:ind w:left="709" w:hanging="270"/>
              <w:rPr>
                <w:rFonts w:cs="Times New Roman"/>
                <w:szCs w:val="18"/>
              </w:rPr>
            </w:pPr>
            <w:r w:rsidRPr="00BC62E3">
              <w:rPr>
                <w:rFonts w:cs="Times New Roman"/>
                <w:szCs w:val="18"/>
              </w:rPr>
              <w:t xml:space="preserve">Clutch created a number of selling materials in the first three months of the project including a sell sheet targeting growers, </w:t>
            </w:r>
            <w:proofErr w:type="gramStart"/>
            <w:r w:rsidRPr="00BC62E3">
              <w:rPr>
                <w:rFonts w:cs="Times New Roman"/>
                <w:szCs w:val="18"/>
              </w:rPr>
              <w:t>table top</w:t>
            </w:r>
            <w:proofErr w:type="gramEnd"/>
            <w:r w:rsidRPr="00BC62E3">
              <w:rPr>
                <w:rFonts w:cs="Times New Roman"/>
                <w:szCs w:val="18"/>
              </w:rPr>
              <w:t xml:space="preserve"> signage to support meetings and trade shows, and a sell story aimed targeting end users.  Additionally, Clutch created and delivered a grower direct mail letter and multiple grower recruitment post cards to support a 2020 plot day.</w:t>
            </w:r>
          </w:p>
          <w:p w:rsidR="00422911" w:rsidRPr="00BC62E3" w:rsidRDefault="00422911" w:rsidP="00AB36BB">
            <w:pPr>
              <w:pStyle w:val="ListParagraph"/>
              <w:numPr>
                <w:ilvl w:val="0"/>
                <w:numId w:val="4"/>
              </w:numPr>
              <w:spacing w:after="200" w:line="276" w:lineRule="auto"/>
              <w:ind w:left="439"/>
              <w:rPr>
                <w:rFonts w:cs="Times New Roman"/>
                <w:szCs w:val="18"/>
              </w:rPr>
            </w:pPr>
            <w:r w:rsidRPr="00BC62E3">
              <w:rPr>
                <w:rFonts w:cs="Times New Roman"/>
                <w:szCs w:val="18"/>
              </w:rPr>
              <w:t>Connection with at least 150 growers to recruit to drive recruitment of 50 for 2020 season.</w:t>
            </w:r>
          </w:p>
          <w:p w:rsidR="000879CC" w:rsidRPr="00BC62E3" w:rsidRDefault="000879CC" w:rsidP="00AB36BB">
            <w:pPr>
              <w:pStyle w:val="ListParagraph"/>
              <w:numPr>
                <w:ilvl w:val="1"/>
                <w:numId w:val="4"/>
              </w:numPr>
              <w:spacing w:after="200" w:line="276" w:lineRule="auto"/>
              <w:ind w:left="709" w:hanging="270"/>
              <w:rPr>
                <w:rFonts w:cs="Times New Roman"/>
                <w:szCs w:val="18"/>
              </w:rPr>
            </w:pPr>
            <w:r w:rsidRPr="00BC62E3">
              <w:rPr>
                <w:rFonts w:cs="Times New Roman"/>
                <w:szCs w:val="18"/>
              </w:rPr>
              <w:t xml:space="preserve">In Nov 2019, Clutch delivered more than </w:t>
            </w:r>
            <w:r w:rsidR="00F86416">
              <w:rPr>
                <w:rFonts w:cs="Times New Roman"/>
                <w:szCs w:val="18"/>
              </w:rPr>
              <w:t xml:space="preserve">1,500 </w:t>
            </w:r>
            <w:r w:rsidRPr="00BC62E3">
              <w:rPr>
                <w:rFonts w:cs="Times New Roman"/>
                <w:szCs w:val="18"/>
              </w:rPr>
              <w:t xml:space="preserve">direct mail letter to growers in ND, SD and MN to recruit for the upcoming season.  In Aug and Sept. 2020, a two plot days </w:t>
            </w:r>
            <w:proofErr w:type="gramStart"/>
            <w:r w:rsidRPr="00BC62E3">
              <w:rPr>
                <w:rFonts w:cs="Times New Roman"/>
                <w:szCs w:val="18"/>
              </w:rPr>
              <w:t>were held</w:t>
            </w:r>
            <w:proofErr w:type="gramEnd"/>
            <w:r w:rsidRPr="00BC62E3">
              <w:rPr>
                <w:rFonts w:cs="Times New Roman"/>
                <w:szCs w:val="18"/>
              </w:rPr>
              <w:t xml:space="preserve"> to recruit growers with each event attracting roughly 25 growers.  Each event was supported by direct mail and email announcement campaigns.</w:t>
            </w:r>
          </w:p>
          <w:p w:rsidR="00422911" w:rsidRPr="00BC62E3" w:rsidRDefault="00422911" w:rsidP="00AB36BB">
            <w:pPr>
              <w:pStyle w:val="ListParagraph"/>
              <w:numPr>
                <w:ilvl w:val="0"/>
                <w:numId w:val="4"/>
              </w:numPr>
              <w:spacing w:after="200" w:line="276" w:lineRule="auto"/>
              <w:ind w:left="439"/>
              <w:rPr>
                <w:rFonts w:cs="Times New Roman"/>
                <w:szCs w:val="18"/>
              </w:rPr>
            </w:pPr>
            <w:r w:rsidRPr="00BC62E3">
              <w:rPr>
                <w:rFonts w:cs="Times New Roman"/>
                <w:szCs w:val="18"/>
              </w:rPr>
              <w:t>Measurement of contracted acres for 2020 growing season.</w:t>
            </w:r>
          </w:p>
          <w:p w:rsidR="000879CC" w:rsidRPr="00BC62E3" w:rsidRDefault="000879CC" w:rsidP="00AB36BB">
            <w:pPr>
              <w:pStyle w:val="ListParagraph"/>
              <w:numPr>
                <w:ilvl w:val="1"/>
                <w:numId w:val="4"/>
              </w:numPr>
              <w:spacing w:after="200" w:line="276" w:lineRule="auto"/>
              <w:ind w:left="709" w:hanging="270"/>
              <w:rPr>
                <w:rFonts w:cs="Times New Roman"/>
                <w:szCs w:val="18"/>
              </w:rPr>
            </w:pPr>
            <w:proofErr w:type="spellStart"/>
            <w:r w:rsidRPr="00BC62E3">
              <w:rPr>
                <w:rFonts w:cs="Times New Roman"/>
                <w:szCs w:val="18"/>
              </w:rPr>
              <w:t>Brushvale</w:t>
            </w:r>
            <w:proofErr w:type="spellEnd"/>
            <w:r w:rsidRPr="00BC62E3">
              <w:rPr>
                <w:rFonts w:cs="Times New Roman"/>
                <w:szCs w:val="18"/>
              </w:rPr>
              <w:t xml:space="preserve"> planted approximately </w:t>
            </w:r>
            <w:r w:rsidR="006155EF">
              <w:rPr>
                <w:rFonts w:cs="Times New Roman"/>
                <w:szCs w:val="18"/>
              </w:rPr>
              <w:t>350</w:t>
            </w:r>
            <w:r w:rsidRPr="00BC62E3">
              <w:rPr>
                <w:rFonts w:cs="Times New Roman"/>
                <w:szCs w:val="18"/>
              </w:rPr>
              <w:t xml:space="preserve"> acres of non-</w:t>
            </w:r>
            <w:proofErr w:type="spellStart"/>
            <w:r w:rsidRPr="00BC62E3">
              <w:rPr>
                <w:rFonts w:cs="Times New Roman"/>
                <w:szCs w:val="18"/>
              </w:rPr>
              <w:t>gmo</w:t>
            </w:r>
            <w:proofErr w:type="spellEnd"/>
            <w:r w:rsidRPr="00BC62E3">
              <w:rPr>
                <w:rFonts w:cs="Times New Roman"/>
                <w:szCs w:val="18"/>
              </w:rPr>
              <w:t xml:space="preserve"> high oleic varieties in 2020.</w:t>
            </w:r>
          </w:p>
          <w:p w:rsidR="00422911" w:rsidRPr="00BC62E3" w:rsidRDefault="00422911" w:rsidP="00AB36BB">
            <w:pPr>
              <w:pStyle w:val="ListParagraph"/>
              <w:numPr>
                <w:ilvl w:val="0"/>
                <w:numId w:val="4"/>
              </w:numPr>
              <w:spacing w:after="200" w:line="276" w:lineRule="auto"/>
              <w:ind w:left="439"/>
              <w:rPr>
                <w:rFonts w:cs="Times New Roman"/>
                <w:szCs w:val="18"/>
              </w:rPr>
            </w:pPr>
            <w:r w:rsidRPr="00BC62E3">
              <w:rPr>
                <w:rFonts w:cs="Times New Roman"/>
                <w:szCs w:val="18"/>
              </w:rPr>
              <w:t>Verified meetings/discussions with at least 50 potential oil customers.</w:t>
            </w:r>
          </w:p>
          <w:p w:rsidR="000879CC" w:rsidRPr="00BC62E3" w:rsidRDefault="00055DF3" w:rsidP="00AB36BB">
            <w:pPr>
              <w:pStyle w:val="ListParagraph"/>
              <w:numPr>
                <w:ilvl w:val="1"/>
                <w:numId w:val="4"/>
              </w:numPr>
              <w:spacing w:after="200" w:line="276" w:lineRule="auto"/>
              <w:ind w:left="709" w:hanging="270"/>
              <w:rPr>
                <w:rFonts w:cs="Times New Roman"/>
                <w:szCs w:val="18"/>
              </w:rPr>
            </w:pPr>
            <w:r w:rsidRPr="00BC62E3">
              <w:rPr>
                <w:rFonts w:cs="Times New Roman"/>
                <w:szCs w:val="18"/>
              </w:rPr>
              <w:lastRenderedPageBreak/>
              <w:t xml:space="preserve">Clutch conducted outreach via direct phone calls and email to 53 regional and mid-scale oil distributors and food companies.  Two companies have expressed interest in exploring an agreement to purchase oil from </w:t>
            </w:r>
            <w:proofErr w:type="spellStart"/>
            <w:r w:rsidRPr="00BC62E3">
              <w:rPr>
                <w:rFonts w:cs="Times New Roman"/>
                <w:szCs w:val="18"/>
              </w:rPr>
              <w:t>Brushvale</w:t>
            </w:r>
            <w:proofErr w:type="spellEnd"/>
            <w:r w:rsidRPr="00BC62E3">
              <w:rPr>
                <w:rFonts w:cs="Times New Roman"/>
                <w:szCs w:val="18"/>
              </w:rPr>
              <w:t>.</w:t>
            </w:r>
          </w:p>
          <w:p w:rsidR="00422911" w:rsidRPr="00BC62E3" w:rsidRDefault="00422911" w:rsidP="00AB36BB">
            <w:pPr>
              <w:pStyle w:val="ListParagraph"/>
              <w:numPr>
                <w:ilvl w:val="0"/>
                <w:numId w:val="4"/>
              </w:numPr>
              <w:spacing w:after="200" w:line="276" w:lineRule="auto"/>
              <w:ind w:left="439"/>
              <w:rPr>
                <w:rFonts w:cs="Times New Roman"/>
                <w:szCs w:val="18"/>
              </w:rPr>
            </w:pPr>
            <w:r w:rsidRPr="00BC62E3">
              <w:rPr>
                <w:rFonts w:cs="Times New Roman"/>
                <w:szCs w:val="18"/>
              </w:rPr>
              <w:t>Sample quantity of soybeans processed to support fry test and sales samples by Nov 30, 2019.</w:t>
            </w:r>
          </w:p>
          <w:p w:rsidR="000879CC" w:rsidRPr="00BC62E3" w:rsidRDefault="000879CC" w:rsidP="00AB36BB">
            <w:pPr>
              <w:pStyle w:val="ListParagraph"/>
              <w:numPr>
                <w:ilvl w:val="1"/>
                <w:numId w:val="4"/>
              </w:numPr>
              <w:spacing w:after="200" w:line="276" w:lineRule="auto"/>
              <w:ind w:left="709" w:hanging="270"/>
              <w:rPr>
                <w:rFonts w:cs="Times New Roman"/>
                <w:szCs w:val="18"/>
              </w:rPr>
            </w:pPr>
            <w:r w:rsidRPr="00BC62E3">
              <w:rPr>
                <w:rFonts w:cs="Times New Roman"/>
                <w:szCs w:val="18"/>
              </w:rPr>
              <w:t xml:space="preserve">Approximately 8,000 </w:t>
            </w:r>
            <w:proofErr w:type="spellStart"/>
            <w:r w:rsidRPr="00BC62E3">
              <w:rPr>
                <w:rFonts w:cs="Times New Roman"/>
                <w:szCs w:val="18"/>
              </w:rPr>
              <w:t>lbs</w:t>
            </w:r>
            <w:proofErr w:type="spellEnd"/>
            <w:r w:rsidRPr="00BC62E3">
              <w:rPr>
                <w:rFonts w:cs="Times New Roman"/>
                <w:szCs w:val="18"/>
              </w:rPr>
              <w:t xml:space="preserve"> of non-</w:t>
            </w:r>
            <w:proofErr w:type="spellStart"/>
            <w:r w:rsidRPr="00BC62E3">
              <w:rPr>
                <w:rFonts w:cs="Times New Roman"/>
                <w:szCs w:val="18"/>
              </w:rPr>
              <w:t>gmo</w:t>
            </w:r>
            <w:proofErr w:type="spellEnd"/>
            <w:r w:rsidRPr="00BC62E3">
              <w:rPr>
                <w:rFonts w:cs="Times New Roman"/>
                <w:szCs w:val="18"/>
              </w:rPr>
              <w:t xml:space="preserve"> HO soybeans were crushed at American Natu</w:t>
            </w:r>
            <w:r w:rsidR="00055DF3" w:rsidRPr="00BC62E3">
              <w:rPr>
                <w:rFonts w:cs="Times New Roman"/>
                <w:szCs w:val="18"/>
              </w:rPr>
              <w:t xml:space="preserve">ral Processors in December 2020.  A subsequent frying test provided expected results in line with other high oleic soy testing.  Product samples in 5 gallon </w:t>
            </w:r>
            <w:proofErr w:type="spellStart"/>
            <w:r w:rsidR="00055DF3" w:rsidRPr="00BC62E3">
              <w:rPr>
                <w:rFonts w:cs="Times New Roman"/>
                <w:szCs w:val="18"/>
              </w:rPr>
              <w:t>JiB</w:t>
            </w:r>
            <w:proofErr w:type="spellEnd"/>
            <w:r w:rsidR="00055DF3" w:rsidRPr="00BC62E3">
              <w:rPr>
                <w:rFonts w:cs="Times New Roman"/>
                <w:szCs w:val="18"/>
              </w:rPr>
              <w:t xml:space="preserve">, ½ gallon and quart sizes </w:t>
            </w:r>
            <w:proofErr w:type="gramStart"/>
            <w:r w:rsidR="00055DF3" w:rsidRPr="00BC62E3">
              <w:rPr>
                <w:rFonts w:cs="Times New Roman"/>
                <w:szCs w:val="18"/>
              </w:rPr>
              <w:t>were also produced</w:t>
            </w:r>
            <w:proofErr w:type="gramEnd"/>
            <w:r w:rsidR="00055DF3" w:rsidRPr="00BC62E3">
              <w:rPr>
                <w:rFonts w:cs="Times New Roman"/>
                <w:szCs w:val="18"/>
              </w:rPr>
              <w:t xml:space="preserve"> during the processing.</w:t>
            </w:r>
            <w:r w:rsidRPr="00BC62E3">
              <w:rPr>
                <w:rFonts w:cs="Times New Roman"/>
                <w:szCs w:val="18"/>
              </w:rPr>
              <w:t xml:space="preserve"> </w:t>
            </w:r>
          </w:p>
          <w:p w:rsidR="00422911" w:rsidRPr="00BC62E3" w:rsidRDefault="00422911" w:rsidP="00AB36BB">
            <w:pPr>
              <w:pStyle w:val="ListParagraph"/>
              <w:numPr>
                <w:ilvl w:val="0"/>
                <w:numId w:val="4"/>
              </w:numPr>
              <w:spacing w:after="200" w:line="276" w:lineRule="auto"/>
              <w:ind w:left="439"/>
              <w:rPr>
                <w:rFonts w:cs="Times New Roman"/>
                <w:szCs w:val="18"/>
              </w:rPr>
            </w:pPr>
            <w:r w:rsidRPr="00BC62E3">
              <w:rPr>
                <w:rFonts w:cs="Times New Roman"/>
                <w:szCs w:val="18"/>
              </w:rPr>
              <w:t>Successful breeding through F</w:t>
            </w:r>
            <w:r w:rsidRPr="00BC62E3">
              <w:rPr>
                <w:rFonts w:cs="Times New Roman"/>
                <w:szCs w:val="18"/>
                <w:vertAlign w:val="subscript"/>
              </w:rPr>
              <w:t>1</w:t>
            </w:r>
            <w:r w:rsidRPr="00BC62E3">
              <w:rPr>
                <w:rFonts w:cs="Times New Roman"/>
                <w:szCs w:val="18"/>
              </w:rPr>
              <w:t>-F</w:t>
            </w:r>
            <w:r w:rsidRPr="00BC62E3">
              <w:rPr>
                <w:rFonts w:cs="Times New Roman"/>
                <w:szCs w:val="18"/>
                <w:vertAlign w:val="subscript"/>
              </w:rPr>
              <w:t>3</w:t>
            </w:r>
            <w:r w:rsidRPr="00BC62E3">
              <w:rPr>
                <w:rFonts w:cs="Times New Roman"/>
                <w:szCs w:val="18"/>
              </w:rPr>
              <w:t xml:space="preserve"> populations, progeny rows and yield trials.</w:t>
            </w:r>
          </w:p>
          <w:p w:rsidR="00055DF3" w:rsidRPr="00BC62E3" w:rsidRDefault="0078486C" w:rsidP="00AB36BB">
            <w:pPr>
              <w:pStyle w:val="ListParagraph"/>
              <w:numPr>
                <w:ilvl w:val="1"/>
                <w:numId w:val="4"/>
              </w:numPr>
              <w:spacing w:after="200" w:line="276" w:lineRule="auto"/>
              <w:ind w:left="709" w:hanging="270"/>
              <w:rPr>
                <w:rFonts w:cs="Times New Roman"/>
                <w:szCs w:val="18"/>
              </w:rPr>
            </w:pPr>
            <w:r w:rsidRPr="00BC62E3">
              <w:rPr>
                <w:rFonts w:cs="Times New Roman"/>
                <w:szCs w:val="18"/>
              </w:rPr>
              <w:t xml:space="preserve">The project advanced F4 lines through a winter nursery in Chile and advanced F1-F3 populations in two growth cycles in Costa Rica.  The project continues to have success in producing progeny with the high oleic, low linolenic and protein combination necessary.  </w:t>
            </w:r>
          </w:p>
          <w:p w:rsidR="00422911" w:rsidRPr="00BC62E3" w:rsidRDefault="00422911" w:rsidP="00AB36BB">
            <w:pPr>
              <w:pStyle w:val="ListParagraph"/>
              <w:numPr>
                <w:ilvl w:val="0"/>
                <w:numId w:val="4"/>
              </w:numPr>
              <w:spacing w:line="240" w:lineRule="auto"/>
              <w:ind w:left="439"/>
              <w:rPr>
                <w:rFonts w:cs="Times New Roman"/>
                <w:i/>
                <w:szCs w:val="18"/>
              </w:rPr>
            </w:pPr>
            <w:r w:rsidRPr="00BC62E3">
              <w:rPr>
                <w:rFonts w:cs="Times New Roman"/>
                <w:szCs w:val="18"/>
              </w:rPr>
              <w:t>Monthly progress review of contacts, meetings, relationship status with growers and end user customers in Customer Relationship Management (CRM) system.</w:t>
            </w:r>
          </w:p>
          <w:p w:rsidR="00055DF3" w:rsidRPr="00BC62E3" w:rsidRDefault="00055DF3" w:rsidP="00AB36BB">
            <w:pPr>
              <w:pStyle w:val="ListParagraph"/>
              <w:numPr>
                <w:ilvl w:val="1"/>
                <w:numId w:val="4"/>
              </w:numPr>
              <w:spacing w:after="200" w:line="276" w:lineRule="auto"/>
              <w:ind w:left="709" w:hanging="270"/>
              <w:rPr>
                <w:rFonts w:cs="Times New Roman"/>
                <w:szCs w:val="18"/>
              </w:rPr>
            </w:pPr>
            <w:r w:rsidRPr="00BC62E3">
              <w:rPr>
                <w:rFonts w:cs="Times New Roman"/>
                <w:szCs w:val="18"/>
              </w:rPr>
              <w:t xml:space="preserve">Clutch and </w:t>
            </w:r>
            <w:proofErr w:type="spellStart"/>
            <w:r w:rsidRPr="00BC62E3">
              <w:rPr>
                <w:rFonts w:cs="Times New Roman"/>
                <w:szCs w:val="18"/>
              </w:rPr>
              <w:t>Brushvale</w:t>
            </w:r>
            <w:proofErr w:type="spellEnd"/>
            <w:r w:rsidRPr="00BC62E3">
              <w:rPr>
                <w:rFonts w:cs="Times New Roman"/>
                <w:szCs w:val="18"/>
              </w:rPr>
              <w:t xml:space="preserve"> met on a regular basis to review grower recruiting and oil customer outreach efforts.  An informal CRM was kept through to track leads.</w:t>
            </w:r>
          </w:p>
          <w:p w:rsidR="00F070B4" w:rsidRPr="00BC62E3" w:rsidRDefault="00F070B4" w:rsidP="00F070B4">
            <w:pPr>
              <w:rPr>
                <w:szCs w:val="18"/>
              </w:rPr>
            </w:pPr>
          </w:p>
        </w:tc>
      </w:tr>
      <w:tr w:rsidR="00D04C40" w:rsidTr="00CD3D61">
        <w:trPr>
          <w:gridBefore w:val="1"/>
          <w:wBefore w:w="18" w:type="dxa"/>
        </w:trPr>
        <w:tc>
          <w:tcPr>
            <w:tcW w:w="8990" w:type="dxa"/>
            <w:gridSpan w:val="2"/>
            <w:tcMar>
              <w:top w:w="43" w:type="dxa"/>
              <w:left w:w="0" w:type="dxa"/>
              <w:bottom w:w="43" w:type="dxa"/>
              <w:right w:w="0" w:type="dxa"/>
            </w:tcMar>
          </w:tcPr>
          <w:p w:rsidR="00D04C40" w:rsidRPr="00BD1E89" w:rsidRDefault="00F070B4" w:rsidP="00491CE6">
            <w:pPr>
              <w:pStyle w:val="Heading2"/>
              <w:numPr>
                <w:ilvl w:val="0"/>
                <w:numId w:val="0"/>
              </w:numPr>
              <w:ind w:left="576" w:hanging="576"/>
              <w:outlineLvl w:val="1"/>
              <w:rPr>
                <w:i/>
              </w:rPr>
            </w:pPr>
            <w:r>
              <w:lastRenderedPageBreak/>
              <w:t>Expected Outputs/</w:t>
            </w:r>
            <w:r w:rsidR="00406CFF">
              <w:t xml:space="preserve">Deliverables - </w:t>
            </w:r>
            <w:r w:rsidR="00D04C40" w:rsidRPr="00406CFF">
              <w:rPr>
                <w:b w:val="0"/>
              </w:rPr>
              <w:t>List each</w:t>
            </w:r>
            <w:r w:rsidR="00D04C40">
              <w:rPr>
                <w:b w:val="0"/>
              </w:rPr>
              <w:t xml:space="preserve"> deliverable</w:t>
            </w:r>
            <w:r w:rsidR="00491CE6">
              <w:rPr>
                <w:b w:val="0"/>
              </w:rPr>
              <w:t xml:space="preserve"> identified in the project, indicate</w:t>
            </w:r>
            <w:r w:rsidR="00D04C40" w:rsidRPr="00FF4F4F">
              <w:rPr>
                <w:b w:val="0"/>
              </w:rPr>
              <w:t xml:space="preserve"> whether or not it was </w:t>
            </w:r>
            <w:r w:rsidR="00D04C40">
              <w:rPr>
                <w:b w:val="0"/>
              </w:rPr>
              <w:t>supplied and if not supplied, please provide an explanation as to why</w:t>
            </w:r>
            <w:r w:rsidR="00D04C40" w:rsidRPr="00FF4F4F">
              <w:rPr>
                <w:b w:val="0"/>
              </w:rPr>
              <w:t>.</w:t>
            </w:r>
          </w:p>
        </w:tc>
      </w:tr>
      <w:tr w:rsidR="00D04C40" w:rsidTr="00CD3D61">
        <w:trPr>
          <w:gridBefore w:val="1"/>
          <w:wBefore w:w="18" w:type="dxa"/>
          <w:trHeight w:val="2575"/>
        </w:trPr>
        <w:tc>
          <w:tcPr>
            <w:tcW w:w="8990" w:type="dxa"/>
            <w:gridSpan w:val="2"/>
            <w:tcMar>
              <w:top w:w="43" w:type="dxa"/>
              <w:left w:w="0" w:type="dxa"/>
              <w:bottom w:w="43" w:type="dxa"/>
              <w:right w:w="0" w:type="dxa"/>
            </w:tcMar>
          </w:tcPr>
          <w:p w:rsidR="0078486C" w:rsidRPr="00BC62E3" w:rsidRDefault="0078486C" w:rsidP="0078486C">
            <w:pPr>
              <w:spacing w:after="200" w:line="276" w:lineRule="auto"/>
              <w:rPr>
                <w:rFonts w:cs="Times New Roman"/>
                <w:szCs w:val="18"/>
              </w:rPr>
            </w:pPr>
            <w:r w:rsidRPr="00BC62E3">
              <w:rPr>
                <w:rFonts w:cs="Times New Roman"/>
                <w:szCs w:val="18"/>
              </w:rPr>
              <w:t>The project had four expected outputs, each of which the project delivered upon advancing.</w:t>
            </w:r>
          </w:p>
          <w:p w:rsidR="0078486C" w:rsidRPr="00BC62E3" w:rsidRDefault="0078486C" w:rsidP="00AB36BB">
            <w:pPr>
              <w:pStyle w:val="ListParagraph"/>
              <w:numPr>
                <w:ilvl w:val="0"/>
                <w:numId w:val="5"/>
              </w:numPr>
              <w:spacing w:after="200" w:line="276" w:lineRule="auto"/>
              <w:rPr>
                <w:rFonts w:cs="Times New Roman"/>
                <w:szCs w:val="18"/>
              </w:rPr>
            </w:pPr>
            <w:r w:rsidRPr="00BC62E3">
              <w:rPr>
                <w:rFonts w:cs="Times New Roman"/>
                <w:szCs w:val="18"/>
              </w:rPr>
              <w:t>Expansion of available non-</w:t>
            </w:r>
            <w:proofErr w:type="spellStart"/>
            <w:r w:rsidRPr="00BC62E3">
              <w:rPr>
                <w:rFonts w:cs="Times New Roman"/>
                <w:szCs w:val="18"/>
              </w:rPr>
              <w:t>gmo</w:t>
            </w:r>
            <w:proofErr w:type="spellEnd"/>
            <w:r w:rsidRPr="00BC62E3">
              <w:rPr>
                <w:rFonts w:cs="Times New Roman"/>
                <w:szCs w:val="18"/>
              </w:rPr>
              <w:t xml:space="preserve"> high oleic soybean varieties.</w:t>
            </w:r>
          </w:p>
          <w:p w:rsidR="0078486C" w:rsidRPr="00BC62E3" w:rsidRDefault="0078486C" w:rsidP="00AB36BB">
            <w:pPr>
              <w:pStyle w:val="ListParagraph"/>
              <w:numPr>
                <w:ilvl w:val="1"/>
                <w:numId w:val="5"/>
              </w:numPr>
              <w:spacing w:after="200" w:line="276" w:lineRule="auto"/>
              <w:rPr>
                <w:rFonts w:cs="Times New Roman"/>
                <w:szCs w:val="18"/>
              </w:rPr>
            </w:pPr>
            <w:r w:rsidRPr="00BC62E3">
              <w:rPr>
                <w:rFonts w:cs="Times New Roman"/>
                <w:szCs w:val="18"/>
              </w:rPr>
              <w:t>The project further advanced the development of non-</w:t>
            </w:r>
            <w:proofErr w:type="spellStart"/>
            <w:r w:rsidRPr="00BC62E3">
              <w:rPr>
                <w:rFonts w:cs="Times New Roman"/>
                <w:szCs w:val="18"/>
              </w:rPr>
              <w:t>gmo</w:t>
            </w:r>
            <w:proofErr w:type="spellEnd"/>
            <w:r w:rsidRPr="00BC62E3">
              <w:rPr>
                <w:rFonts w:cs="Times New Roman"/>
                <w:szCs w:val="18"/>
              </w:rPr>
              <w:t xml:space="preserve"> high oleic varieties for the MN and Dakotas region.  </w:t>
            </w:r>
          </w:p>
          <w:p w:rsidR="0078486C" w:rsidRDefault="0078486C" w:rsidP="00AB36BB">
            <w:pPr>
              <w:pStyle w:val="ListParagraph"/>
              <w:numPr>
                <w:ilvl w:val="0"/>
                <w:numId w:val="5"/>
              </w:numPr>
              <w:spacing w:after="200" w:line="276" w:lineRule="auto"/>
              <w:rPr>
                <w:rFonts w:cs="Times New Roman"/>
                <w:szCs w:val="18"/>
              </w:rPr>
            </w:pPr>
            <w:r w:rsidRPr="00BC62E3">
              <w:rPr>
                <w:rFonts w:cs="Times New Roman"/>
                <w:szCs w:val="18"/>
              </w:rPr>
              <w:t>Demonstrated adoption of non-</w:t>
            </w:r>
            <w:proofErr w:type="spellStart"/>
            <w:r w:rsidRPr="00BC62E3">
              <w:rPr>
                <w:rFonts w:cs="Times New Roman"/>
                <w:szCs w:val="18"/>
              </w:rPr>
              <w:t>gmo</w:t>
            </w:r>
            <w:proofErr w:type="spellEnd"/>
            <w:r w:rsidRPr="00BC62E3">
              <w:rPr>
                <w:rFonts w:cs="Times New Roman"/>
                <w:szCs w:val="18"/>
              </w:rPr>
              <w:t xml:space="preserve"> high oleic soybean oil by regional end users.</w:t>
            </w:r>
          </w:p>
          <w:p w:rsidR="003301B6" w:rsidRPr="00BC62E3" w:rsidRDefault="003301B6" w:rsidP="003301B6">
            <w:pPr>
              <w:pStyle w:val="ListParagraph"/>
              <w:numPr>
                <w:ilvl w:val="1"/>
                <w:numId w:val="5"/>
              </w:numPr>
              <w:spacing w:after="200" w:line="276" w:lineRule="auto"/>
              <w:rPr>
                <w:rFonts w:cs="Times New Roman"/>
                <w:szCs w:val="18"/>
              </w:rPr>
            </w:pPr>
            <w:r>
              <w:rPr>
                <w:rFonts w:cs="Times New Roman"/>
                <w:szCs w:val="18"/>
              </w:rPr>
              <w:t xml:space="preserve">Two companies are in active discussion with </w:t>
            </w:r>
            <w:proofErr w:type="spellStart"/>
            <w:r>
              <w:rPr>
                <w:rFonts w:cs="Times New Roman"/>
                <w:szCs w:val="18"/>
              </w:rPr>
              <w:t>Brushvale</w:t>
            </w:r>
            <w:proofErr w:type="spellEnd"/>
            <w:r>
              <w:rPr>
                <w:rFonts w:cs="Times New Roman"/>
                <w:szCs w:val="18"/>
              </w:rPr>
              <w:t xml:space="preserve"> to test and purchase non-</w:t>
            </w:r>
            <w:proofErr w:type="spellStart"/>
            <w:r>
              <w:rPr>
                <w:rFonts w:cs="Times New Roman"/>
                <w:szCs w:val="18"/>
              </w:rPr>
              <w:t>gmo</w:t>
            </w:r>
            <w:proofErr w:type="spellEnd"/>
            <w:r>
              <w:rPr>
                <w:rFonts w:cs="Times New Roman"/>
                <w:szCs w:val="18"/>
              </w:rPr>
              <w:t xml:space="preserve"> HOSO.</w:t>
            </w:r>
          </w:p>
          <w:p w:rsidR="0078486C" w:rsidRDefault="0078486C" w:rsidP="00AB36BB">
            <w:pPr>
              <w:pStyle w:val="ListParagraph"/>
              <w:numPr>
                <w:ilvl w:val="0"/>
                <w:numId w:val="5"/>
              </w:numPr>
              <w:spacing w:after="200" w:line="276" w:lineRule="auto"/>
              <w:rPr>
                <w:rFonts w:cs="Times New Roman"/>
                <w:szCs w:val="18"/>
              </w:rPr>
            </w:pPr>
            <w:r w:rsidRPr="00BC62E3">
              <w:rPr>
                <w:rFonts w:cs="Times New Roman"/>
                <w:szCs w:val="18"/>
              </w:rPr>
              <w:t>Creation of a viable non-</w:t>
            </w:r>
            <w:proofErr w:type="spellStart"/>
            <w:r w:rsidRPr="00BC62E3">
              <w:rPr>
                <w:rFonts w:cs="Times New Roman"/>
                <w:szCs w:val="18"/>
              </w:rPr>
              <w:t>gmo</w:t>
            </w:r>
            <w:proofErr w:type="spellEnd"/>
            <w:r w:rsidRPr="00BC62E3">
              <w:rPr>
                <w:rFonts w:cs="Times New Roman"/>
                <w:szCs w:val="18"/>
              </w:rPr>
              <w:t xml:space="preserve"> high oleic soybean market in the MN/ND/SD region.</w:t>
            </w:r>
          </w:p>
          <w:p w:rsidR="003301B6" w:rsidRPr="00BC62E3" w:rsidRDefault="003301B6" w:rsidP="003301B6">
            <w:pPr>
              <w:pStyle w:val="ListParagraph"/>
              <w:numPr>
                <w:ilvl w:val="1"/>
                <w:numId w:val="5"/>
              </w:numPr>
              <w:spacing w:after="200" w:line="276" w:lineRule="auto"/>
              <w:rPr>
                <w:rFonts w:cs="Times New Roman"/>
                <w:szCs w:val="18"/>
              </w:rPr>
            </w:pPr>
            <w:r>
              <w:rPr>
                <w:rFonts w:cs="Times New Roman"/>
                <w:szCs w:val="18"/>
              </w:rPr>
              <w:t>More than 1,500 growers had the opportunity to learn about the potential to grow non-</w:t>
            </w:r>
            <w:proofErr w:type="spellStart"/>
            <w:r>
              <w:rPr>
                <w:rFonts w:cs="Times New Roman"/>
                <w:szCs w:val="18"/>
              </w:rPr>
              <w:t>gmo</w:t>
            </w:r>
            <w:proofErr w:type="spellEnd"/>
            <w:r>
              <w:rPr>
                <w:rFonts w:cs="Times New Roman"/>
                <w:szCs w:val="18"/>
              </w:rPr>
              <w:t xml:space="preserve"> HO in their operation.</w:t>
            </w:r>
          </w:p>
          <w:p w:rsidR="00D04C40" w:rsidRDefault="0078486C" w:rsidP="00AB36BB">
            <w:pPr>
              <w:pStyle w:val="ListParagraph"/>
              <w:numPr>
                <w:ilvl w:val="0"/>
                <w:numId w:val="5"/>
              </w:numPr>
              <w:spacing w:after="200" w:line="276" w:lineRule="auto"/>
              <w:rPr>
                <w:rFonts w:cs="Times New Roman"/>
                <w:szCs w:val="18"/>
              </w:rPr>
            </w:pPr>
            <w:r w:rsidRPr="00BC62E3">
              <w:rPr>
                <w:rFonts w:cs="Times New Roman"/>
                <w:szCs w:val="18"/>
              </w:rPr>
              <w:t>Overall expansion of high oleic soybean oil market penetration.</w:t>
            </w:r>
          </w:p>
          <w:p w:rsidR="003301B6" w:rsidRPr="00BC62E3" w:rsidRDefault="003301B6" w:rsidP="003301B6">
            <w:pPr>
              <w:pStyle w:val="ListParagraph"/>
              <w:numPr>
                <w:ilvl w:val="1"/>
                <w:numId w:val="5"/>
              </w:numPr>
              <w:spacing w:after="200" w:line="276" w:lineRule="auto"/>
              <w:rPr>
                <w:rFonts w:cs="Times New Roman"/>
                <w:szCs w:val="18"/>
              </w:rPr>
            </w:pPr>
            <w:r>
              <w:rPr>
                <w:rFonts w:cs="Times New Roman"/>
                <w:szCs w:val="18"/>
              </w:rPr>
              <w:t>The project demonstrated interest among growers to plant non-</w:t>
            </w:r>
            <w:proofErr w:type="spellStart"/>
            <w:r>
              <w:rPr>
                <w:rFonts w:cs="Times New Roman"/>
                <w:szCs w:val="18"/>
              </w:rPr>
              <w:t>gmo</w:t>
            </w:r>
            <w:proofErr w:type="spellEnd"/>
            <w:r>
              <w:rPr>
                <w:rFonts w:cs="Times New Roman"/>
                <w:szCs w:val="18"/>
              </w:rPr>
              <w:t xml:space="preserve"> HO and end users to purchase oil made from the soybeans.  The project also expanded the geographic region for growers to plant a non-</w:t>
            </w:r>
            <w:proofErr w:type="spellStart"/>
            <w:r>
              <w:rPr>
                <w:rFonts w:cs="Times New Roman"/>
                <w:szCs w:val="18"/>
              </w:rPr>
              <w:t>gmo</w:t>
            </w:r>
            <w:proofErr w:type="spellEnd"/>
            <w:r>
              <w:rPr>
                <w:rFonts w:cs="Times New Roman"/>
                <w:szCs w:val="18"/>
              </w:rPr>
              <w:t xml:space="preserve"> HO variety.</w:t>
            </w:r>
          </w:p>
        </w:tc>
      </w:tr>
      <w:tr w:rsidR="00EA0768" w:rsidTr="00CD3D61">
        <w:tblPrEx>
          <w:jc w:val="center"/>
          <w:tblInd w:w="0" w:type="dxa"/>
        </w:tblPrEx>
        <w:trPr>
          <w:jc w:val="center"/>
        </w:trPr>
        <w:tc>
          <w:tcPr>
            <w:tcW w:w="9008" w:type="dxa"/>
            <w:gridSpan w:val="3"/>
          </w:tcPr>
          <w:p w:rsidR="00D42DA7" w:rsidRPr="00D42DA7" w:rsidRDefault="00F070B4" w:rsidP="007249F5">
            <w:pPr>
              <w:pStyle w:val="Heading2"/>
              <w:numPr>
                <w:ilvl w:val="0"/>
                <w:numId w:val="0"/>
              </w:numPr>
              <w:ind w:left="576" w:hanging="576"/>
              <w:outlineLvl w:val="1"/>
            </w:pPr>
            <w:r w:rsidRPr="00406CFF">
              <w:t>Describe any unforeseen events or circumstances that may have affected project timeline, costs, or deliverables</w:t>
            </w:r>
            <w:r w:rsidRPr="00F070B4">
              <w:t xml:space="preserve"> </w:t>
            </w:r>
            <w:r w:rsidR="00D56134">
              <w:t>(</w:t>
            </w:r>
            <w:r w:rsidRPr="00F070B4">
              <w:t>if applicable</w:t>
            </w:r>
            <w:r w:rsidRPr="00406CFF">
              <w:t>.</w:t>
            </w:r>
            <w:r w:rsidR="00D56134">
              <w:t>)</w:t>
            </w:r>
          </w:p>
        </w:tc>
      </w:tr>
      <w:tr w:rsidR="00FF4F4F" w:rsidTr="00CD3D61">
        <w:tblPrEx>
          <w:jc w:val="center"/>
          <w:tblInd w:w="0" w:type="dxa"/>
        </w:tblPrEx>
        <w:trPr>
          <w:trHeight w:val="1421"/>
          <w:jc w:val="center"/>
        </w:trPr>
        <w:tc>
          <w:tcPr>
            <w:tcW w:w="9008" w:type="dxa"/>
            <w:gridSpan w:val="3"/>
          </w:tcPr>
          <w:p w:rsidR="00EB73F9" w:rsidRPr="00BC62E3" w:rsidRDefault="00EB73F9" w:rsidP="00FF4F4F">
            <w:pPr>
              <w:rPr>
                <w:szCs w:val="18"/>
              </w:rPr>
            </w:pPr>
            <w:r w:rsidRPr="00BC62E3">
              <w:rPr>
                <w:szCs w:val="18"/>
              </w:rPr>
              <w:t xml:space="preserve">Soybean processing through Texas A&amp;M </w:t>
            </w:r>
            <w:proofErr w:type="gramStart"/>
            <w:r w:rsidRPr="00BC62E3">
              <w:rPr>
                <w:szCs w:val="18"/>
              </w:rPr>
              <w:t>was delayed</w:t>
            </w:r>
            <w:proofErr w:type="gramEnd"/>
            <w:r w:rsidRPr="00BC62E3">
              <w:rPr>
                <w:szCs w:val="18"/>
              </w:rPr>
              <w:t xml:space="preserve"> approximately one month vs plan due to maintenance and staff travel at the facility.</w:t>
            </w:r>
          </w:p>
          <w:p w:rsidR="00EB73F9" w:rsidRPr="00BC62E3" w:rsidRDefault="00EB73F9" w:rsidP="00FF4F4F">
            <w:pPr>
              <w:rPr>
                <w:szCs w:val="18"/>
              </w:rPr>
            </w:pPr>
          </w:p>
          <w:p w:rsidR="00FF4F4F" w:rsidRPr="00BC62E3" w:rsidRDefault="00055DF3" w:rsidP="00FF4F4F">
            <w:pPr>
              <w:rPr>
                <w:szCs w:val="18"/>
              </w:rPr>
            </w:pPr>
            <w:r w:rsidRPr="00BC62E3">
              <w:rPr>
                <w:szCs w:val="18"/>
              </w:rPr>
              <w:t xml:space="preserve">The project was impacted by the COVID pandemic which reduced the ability of both Clutch and </w:t>
            </w:r>
            <w:proofErr w:type="spellStart"/>
            <w:r w:rsidRPr="00BC62E3">
              <w:rPr>
                <w:szCs w:val="18"/>
              </w:rPr>
              <w:t>Brushvale</w:t>
            </w:r>
            <w:proofErr w:type="spellEnd"/>
            <w:r w:rsidRPr="00BC62E3">
              <w:rPr>
                <w:szCs w:val="18"/>
              </w:rPr>
              <w:t xml:space="preserve"> personnel to travel to meet customers or to participate in trade shows.  Many targeted trade shows/events were cancelled due to the pandemic.  </w:t>
            </w:r>
          </w:p>
          <w:p w:rsidR="00EB73F9" w:rsidRPr="00BC62E3" w:rsidRDefault="00EB73F9" w:rsidP="00FF4F4F">
            <w:pPr>
              <w:rPr>
                <w:szCs w:val="18"/>
              </w:rPr>
            </w:pPr>
          </w:p>
          <w:p w:rsidR="00EB73F9" w:rsidRPr="00BC62E3" w:rsidRDefault="00EB73F9" w:rsidP="00FF4F4F">
            <w:pPr>
              <w:rPr>
                <w:szCs w:val="18"/>
              </w:rPr>
            </w:pPr>
            <w:r w:rsidRPr="00BC62E3">
              <w:rPr>
                <w:szCs w:val="18"/>
              </w:rPr>
              <w:t>Neither events materially impacted the end results of the project as samples were available in a timely manner and grower recruitment occurred in different manners.</w:t>
            </w:r>
          </w:p>
          <w:p w:rsidR="00EB73F9" w:rsidRPr="00BC62E3" w:rsidRDefault="00EB73F9" w:rsidP="00FF4F4F">
            <w:pPr>
              <w:rPr>
                <w:szCs w:val="18"/>
              </w:rPr>
            </w:pPr>
          </w:p>
        </w:tc>
      </w:tr>
      <w:tr w:rsidR="00FF4F4F" w:rsidTr="00CD3D61">
        <w:trPr>
          <w:trHeight w:val="442"/>
        </w:trPr>
        <w:tc>
          <w:tcPr>
            <w:tcW w:w="9008" w:type="dxa"/>
            <w:gridSpan w:val="3"/>
            <w:tcMar>
              <w:top w:w="43" w:type="dxa"/>
              <w:left w:w="0" w:type="dxa"/>
              <w:bottom w:w="43" w:type="dxa"/>
              <w:right w:w="0" w:type="dxa"/>
            </w:tcMar>
          </w:tcPr>
          <w:p w:rsidR="00FF4F4F" w:rsidRPr="00BC62E3" w:rsidRDefault="00406CFF" w:rsidP="00083E61">
            <w:pPr>
              <w:pStyle w:val="Heading2"/>
              <w:numPr>
                <w:ilvl w:val="0"/>
                <w:numId w:val="0"/>
              </w:numPr>
              <w:ind w:left="576" w:hanging="576"/>
              <w:outlineLvl w:val="1"/>
              <w:rPr>
                <w:szCs w:val="20"/>
              </w:rPr>
            </w:pPr>
            <w:r w:rsidRPr="00BC62E3">
              <w:rPr>
                <w:szCs w:val="20"/>
              </w:rPr>
              <w:lastRenderedPageBreak/>
              <w:t xml:space="preserve">What, </w:t>
            </w:r>
            <w:r w:rsidR="00D56134" w:rsidRPr="00BC62E3">
              <w:rPr>
                <w:szCs w:val="20"/>
              </w:rPr>
              <w:t>if any, follow-up</w:t>
            </w:r>
            <w:r w:rsidRPr="00BC62E3">
              <w:rPr>
                <w:szCs w:val="20"/>
              </w:rPr>
              <w:t xml:space="preserve"> steps are required to capture benefits for all US soybean farmers?</w:t>
            </w:r>
            <w:r w:rsidRPr="00BC62E3">
              <w:rPr>
                <w:i/>
                <w:color w:val="808080" w:themeColor="background1" w:themeShade="80"/>
                <w:szCs w:val="20"/>
              </w:rPr>
              <w:t xml:space="preserve"> </w:t>
            </w:r>
            <w:r w:rsidRPr="00BC62E3">
              <w:rPr>
                <w:b w:val="0"/>
                <w:szCs w:val="20"/>
              </w:rPr>
              <w:t>Describe in a few sentences how the results of this project will be or should be used.</w:t>
            </w:r>
          </w:p>
        </w:tc>
      </w:tr>
      <w:tr w:rsidR="009F6283" w:rsidTr="00CD3D61">
        <w:trPr>
          <w:trHeight w:val="946"/>
        </w:trPr>
        <w:tc>
          <w:tcPr>
            <w:tcW w:w="9008" w:type="dxa"/>
            <w:gridSpan w:val="3"/>
            <w:tcMar>
              <w:top w:w="43" w:type="dxa"/>
              <w:left w:w="0" w:type="dxa"/>
              <w:bottom w:w="43" w:type="dxa"/>
              <w:right w:w="0" w:type="dxa"/>
            </w:tcMar>
          </w:tcPr>
          <w:p w:rsidR="00AB4B27" w:rsidRPr="00BC62E3" w:rsidRDefault="0078486C" w:rsidP="0078486C">
            <w:pPr>
              <w:rPr>
                <w:b/>
                <w:szCs w:val="18"/>
              </w:rPr>
            </w:pPr>
            <w:r w:rsidRPr="00BC62E3">
              <w:rPr>
                <w:szCs w:val="18"/>
              </w:rPr>
              <w:t>The project continues to put non-</w:t>
            </w:r>
            <w:proofErr w:type="spellStart"/>
            <w:r w:rsidRPr="00BC62E3">
              <w:rPr>
                <w:szCs w:val="18"/>
              </w:rPr>
              <w:t>gmo</w:t>
            </w:r>
            <w:proofErr w:type="spellEnd"/>
            <w:r w:rsidRPr="00BC62E3">
              <w:rPr>
                <w:szCs w:val="18"/>
              </w:rPr>
              <w:t xml:space="preserve"> high oleic soybeans on a path to success.  Further support of this and other non-</w:t>
            </w:r>
            <w:proofErr w:type="spellStart"/>
            <w:r w:rsidRPr="00BC62E3">
              <w:rPr>
                <w:szCs w:val="18"/>
              </w:rPr>
              <w:t>gmo</w:t>
            </w:r>
            <w:proofErr w:type="spellEnd"/>
            <w:r w:rsidRPr="00BC62E3">
              <w:rPr>
                <w:szCs w:val="18"/>
              </w:rPr>
              <w:t xml:space="preserve"> high oleic soybean varieties can help round out a portfolio of soybean products that meet the needs of varied customers.  USB should work to educate the marketplace that soybeans provide a versatile product portfolio.</w:t>
            </w:r>
          </w:p>
        </w:tc>
      </w:tr>
      <w:tr w:rsidR="00406CFF" w:rsidTr="00CD3D61">
        <w:trPr>
          <w:trHeight w:val="235"/>
        </w:trPr>
        <w:tc>
          <w:tcPr>
            <w:tcW w:w="9008" w:type="dxa"/>
            <w:gridSpan w:val="3"/>
            <w:tcMar>
              <w:top w:w="43" w:type="dxa"/>
              <w:left w:w="0" w:type="dxa"/>
              <w:bottom w:w="43" w:type="dxa"/>
              <w:right w:w="0" w:type="dxa"/>
            </w:tcMar>
          </w:tcPr>
          <w:p w:rsidR="00406CFF" w:rsidRPr="00BC62E3" w:rsidRDefault="00406CFF" w:rsidP="00406CFF">
            <w:pPr>
              <w:rPr>
                <w:b/>
                <w:szCs w:val="18"/>
              </w:rPr>
            </w:pPr>
            <w:r w:rsidRPr="00BC62E3">
              <w:rPr>
                <w:rFonts w:cs="Times New Roman"/>
                <w:b/>
                <w:iCs/>
                <w:color w:val="000000" w:themeColor="text1"/>
                <w:kern w:val="0"/>
                <w:sz w:val="20"/>
                <w:szCs w:val="20"/>
              </w:rPr>
              <w:t>List any relevant performance metrics not captured in KPI’s.</w:t>
            </w:r>
          </w:p>
        </w:tc>
      </w:tr>
      <w:tr w:rsidR="00406CFF" w:rsidTr="00CD3D61">
        <w:trPr>
          <w:trHeight w:val="1387"/>
        </w:trPr>
        <w:tc>
          <w:tcPr>
            <w:tcW w:w="9008" w:type="dxa"/>
            <w:gridSpan w:val="3"/>
            <w:tcBorders>
              <w:bottom w:val="single" w:sz="4" w:space="0" w:color="D9D9D9" w:themeColor="background1" w:themeShade="D9"/>
            </w:tcBorders>
            <w:tcMar>
              <w:top w:w="43" w:type="dxa"/>
              <w:left w:w="0" w:type="dxa"/>
              <w:bottom w:w="43" w:type="dxa"/>
              <w:right w:w="0" w:type="dxa"/>
            </w:tcMar>
          </w:tcPr>
          <w:p w:rsidR="00406CFF" w:rsidRPr="00BC62E3" w:rsidRDefault="00EB73F9" w:rsidP="00FF4F4F">
            <w:pPr>
              <w:rPr>
                <w:szCs w:val="18"/>
              </w:rPr>
            </w:pPr>
            <w:r w:rsidRPr="00BC62E3">
              <w:rPr>
                <w:szCs w:val="18"/>
              </w:rPr>
              <w:t>None</w:t>
            </w:r>
          </w:p>
        </w:tc>
      </w:tr>
      <w:tr w:rsidR="006A4B0A" w:rsidTr="00CD3D61">
        <w:trPr>
          <w:trHeight w:val="217"/>
        </w:trPr>
        <w:tc>
          <w:tcPr>
            <w:tcW w:w="9008" w:type="dxa"/>
            <w:gridSpan w:val="3"/>
            <w:shd w:val="clear" w:color="auto" w:fill="FFFF99"/>
            <w:tcMar>
              <w:top w:w="43" w:type="dxa"/>
              <w:left w:w="0" w:type="dxa"/>
              <w:bottom w:w="43" w:type="dxa"/>
              <w:right w:w="0" w:type="dxa"/>
            </w:tcMar>
          </w:tcPr>
          <w:p w:rsidR="00DF7BF1" w:rsidRPr="00DF7BF1" w:rsidRDefault="006A4B0A" w:rsidP="00C06E1E">
            <w:pPr>
              <w:rPr>
                <w:b/>
                <w:sz w:val="20"/>
              </w:rPr>
            </w:pPr>
            <w:r w:rsidRPr="006A4B0A">
              <w:rPr>
                <w:b/>
                <w:sz w:val="20"/>
              </w:rPr>
              <w:t xml:space="preserve">Non-technical </w:t>
            </w:r>
            <w:r w:rsidR="00C06E1E">
              <w:rPr>
                <w:b/>
                <w:sz w:val="20"/>
              </w:rPr>
              <w:t>summary</w:t>
            </w:r>
            <w:r w:rsidR="00DF7BF1">
              <w:rPr>
                <w:b/>
                <w:sz w:val="20"/>
              </w:rPr>
              <w:t>:</w:t>
            </w:r>
          </w:p>
        </w:tc>
      </w:tr>
      <w:tr w:rsidR="006A4B0A" w:rsidTr="00CD3D61">
        <w:trPr>
          <w:trHeight w:val="3484"/>
        </w:trPr>
        <w:tc>
          <w:tcPr>
            <w:tcW w:w="9008" w:type="dxa"/>
            <w:gridSpan w:val="3"/>
            <w:tcMar>
              <w:top w:w="43" w:type="dxa"/>
              <w:left w:w="0" w:type="dxa"/>
              <w:bottom w:w="43" w:type="dxa"/>
              <w:right w:w="0" w:type="dxa"/>
            </w:tcMar>
          </w:tcPr>
          <w:p w:rsidR="006A4B0A" w:rsidRPr="006A4B0A" w:rsidRDefault="006A4B0A" w:rsidP="00FF4F4F">
            <w:pPr>
              <w:rPr>
                <w:b/>
              </w:rPr>
            </w:pPr>
          </w:p>
        </w:tc>
      </w:tr>
    </w:tbl>
    <w:p w:rsidR="0025429E" w:rsidRDefault="0025429E" w:rsidP="008041BE"/>
    <w:sectPr w:rsidR="0025429E" w:rsidSect="00E814B8">
      <w:headerReference w:type="first" r:id="rId9"/>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1DC" w:rsidRDefault="00A321DC" w:rsidP="00BD1E89">
      <w:pPr>
        <w:spacing w:line="240" w:lineRule="auto"/>
      </w:pPr>
      <w:r>
        <w:separator/>
      </w:r>
    </w:p>
  </w:endnote>
  <w:endnote w:type="continuationSeparator" w:id="0">
    <w:p w:rsidR="00A321DC" w:rsidRDefault="00A321DC"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1DC" w:rsidRDefault="00A321DC" w:rsidP="00BD1E89">
      <w:pPr>
        <w:spacing w:line="240" w:lineRule="auto"/>
      </w:pPr>
      <w:r>
        <w:separator/>
      </w:r>
    </w:p>
  </w:footnote>
  <w:footnote w:type="continuationSeparator" w:id="0">
    <w:p w:rsidR="00A321DC" w:rsidRDefault="00A321DC"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CE6" w:rsidRPr="00981460" w:rsidRDefault="00491CE6" w:rsidP="00981460">
    <w:pPr>
      <w:pStyle w:val="Title"/>
      <w:jc w:val="right"/>
      <w:rPr>
        <w:sz w:val="24"/>
        <w:szCs w:val="24"/>
      </w:rPr>
    </w:pPr>
    <w:r>
      <w:rPr>
        <w:sz w:val="24"/>
        <w:szCs w:val="24"/>
      </w:rPr>
      <w:t>Subcontractor</w:t>
    </w:r>
    <w:r w:rsidRPr="00981460">
      <w:rPr>
        <w:sz w:val="24"/>
        <w:szCs w:val="24"/>
      </w:rPr>
      <w:t xml:space="preserve"> </w:t>
    </w:r>
    <w:r>
      <w:rPr>
        <w:sz w:val="24"/>
        <w:szCs w:val="24"/>
      </w:rPr>
      <w:t xml:space="preserve">Final </w:t>
    </w:r>
    <w:r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3441596E"/>
    <w:multiLevelType w:val="hybridMultilevel"/>
    <w:tmpl w:val="2704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7466AC"/>
    <w:multiLevelType w:val="hybridMultilevel"/>
    <w:tmpl w:val="6FD4B4E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0616B"/>
    <w:multiLevelType w:val="hybridMultilevel"/>
    <w:tmpl w:val="2A9ABB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num w:numId="1">
    <w:abstractNumId w:val="0"/>
  </w:num>
  <w:num w:numId="2">
    <w:abstractNumId w:val="4"/>
  </w:num>
  <w:num w:numId="3">
    <w:abstractNumId w:val="0"/>
  </w:num>
  <w:num w:numId="4">
    <w:abstractNumId w:val="2"/>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4790"/>
    <w:rsid w:val="0001709F"/>
    <w:rsid w:val="0003601D"/>
    <w:rsid w:val="0004056A"/>
    <w:rsid w:val="00054EF7"/>
    <w:rsid w:val="00055DF3"/>
    <w:rsid w:val="000613DF"/>
    <w:rsid w:val="0007079A"/>
    <w:rsid w:val="00083E61"/>
    <w:rsid w:val="000879CC"/>
    <w:rsid w:val="00087C7F"/>
    <w:rsid w:val="000942F4"/>
    <w:rsid w:val="000A378E"/>
    <w:rsid w:val="000B06CD"/>
    <w:rsid w:val="000B7D6D"/>
    <w:rsid w:val="000C41F6"/>
    <w:rsid w:val="000D726D"/>
    <w:rsid w:val="000D782C"/>
    <w:rsid w:val="000E6330"/>
    <w:rsid w:val="00107714"/>
    <w:rsid w:val="00115BC3"/>
    <w:rsid w:val="00123E01"/>
    <w:rsid w:val="00153F61"/>
    <w:rsid w:val="0016007C"/>
    <w:rsid w:val="00162654"/>
    <w:rsid w:val="00184DBB"/>
    <w:rsid w:val="001854AA"/>
    <w:rsid w:val="001943BF"/>
    <w:rsid w:val="001A6320"/>
    <w:rsid w:val="001B5C81"/>
    <w:rsid w:val="001C34A3"/>
    <w:rsid w:val="001C4C57"/>
    <w:rsid w:val="001E2F8F"/>
    <w:rsid w:val="00203599"/>
    <w:rsid w:val="002044CF"/>
    <w:rsid w:val="002148E3"/>
    <w:rsid w:val="00227538"/>
    <w:rsid w:val="00234746"/>
    <w:rsid w:val="002378AF"/>
    <w:rsid w:val="00245B98"/>
    <w:rsid w:val="00246B18"/>
    <w:rsid w:val="002479BE"/>
    <w:rsid w:val="00250732"/>
    <w:rsid w:val="0025429E"/>
    <w:rsid w:val="0028114C"/>
    <w:rsid w:val="002826E4"/>
    <w:rsid w:val="00291A31"/>
    <w:rsid w:val="00297877"/>
    <w:rsid w:val="00297BED"/>
    <w:rsid w:val="002A115E"/>
    <w:rsid w:val="002B5D14"/>
    <w:rsid w:val="002C30C2"/>
    <w:rsid w:val="002C6626"/>
    <w:rsid w:val="002D5074"/>
    <w:rsid w:val="002E3868"/>
    <w:rsid w:val="00302EDA"/>
    <w:rsid w:val="00320C8D"/>
    <w:rsid w:val="0032545C"/>
    <w:rsid w:val="003301B6"/>
    <w:rsid w:val="00333B09"/>
    <w:rsid w:val="00335A26"/>
    <w:rsid w:val="00335FC1"/>
    <w:rsid w:val="0035304F"/>
    <w:rsid w:val="003621D3"/>
    <w:rsid w:val="00362A90"/>
    <w:rsid w:val="00373BBC"/>
    <w:rsid w:val="00383AB7"/>
    <w:rsid w:val="00383F0E"/>
    <w:rsid w:val="00390570"/>
    <w:rsid w:val="00392592"/>
    <w:rsid w:val="00396079"/>
    <w:rsid w:val="003B2A34"/>
    <w:rsid w:val="003B5F5A"/>
    <w:rsid w:val="003B7A55"/>
    <w:rsid w:val="003D3E21"/>
    <w:rsid w:val="003D6401"/>
    <w:rsid w:val="00402D0B"/>
    <w:rsid w:val="00406CFF"/>
    <w:rsid w:val="004073DA"/>
    <w:rsid w:val="004076FD"/>
    <w:rsid w:val="00410A0D"/>
    <w:rsid w:val="0041728E"/>
    <w:rsid w:val="00422911"/>
    <w:rsid w:val="00424292"/>
    <w:rsid w:val="00425FE4"/>
    <w:rsid w:val="0043706C"/>
    <w:rsid w:val="00437218"/>
    <w:rsid w:val="00451F10"/>
    <w:rsid w:val="00452DF1"/>
    <w:rsid w:val="00455551"/>
    <w:rsid w:val="00470EEC"/>
    <w:rsid w:val="00472A90"/>
    <w:rsid w:val="00491CE6"/>
    <w:rsid w:val="004A7A14"/>
    <w:rsid w:val="004A7B46"/>
    <w:rsid w:val="004C0762"/>
    <w:rsid w:val="004C09F2"/>
    <w:rsid w:val="004C6840"/>
    <w:rsid w:val="004D0D1D"/>
    <w:rsid w:val="004E4F44"/>
    <w:rsid w:val="005020D3"/>
    <w:rsid w:val="00507BF3"/>
    <w:rsid w:val="00521C25"/>
    <w:rsid w:val="00526F1A"/>
    <w:rsid w:val="0054156B"/>
    <w:rsid w:val="00582B63"/>
    <w:rsid w:val="005844D0"/>
    <w:rsid w:val="00596B63"/>
    <w:rsid w:val="00597D71"/>
    <w:rsid w:val="005A61C0"/>
    <w:rsid w:val="005B5964"/>
    <w:rsid w:val="005D5E28"/>
    <w:rsid w:val="005D7144"/>
    <w:rsid w:val="005E7DB4"/>
    <w:rsid w:val="005F492E"/>
    <w:rsid w:val="0060410C"/>
    <w:rsid w:val="00605758"/>
    <w:rsid w:val="00605BA8"/>
    <w:rsid w:val="00614A85"/>
    <w:rsid w:val="006155EF"/>
    <w:rsid w:val="006238F5"/>
    <w:rsid w:val="00632864"/>
    <w:rsid w:val="00643728"/>
    <w:rsid w:val="006507FB"/>
    <w:rsid w:val="006572F3"/>
    <w:rsid w:val="006709BB"/>
    <w:rsid w:val="00684BCF"/>
    <w:rsid w:val="00693D9D"/>
    <w:rsid w:val="0069666C"/>
    <w:rsid w:val="006A4B0A"/>
    <w:rsid w:val="006A6A77"/>
    <w:rsid w:val="006A6CCC"/>
    <w:rsid w:val="006D3433"/>
    <w:rsid w:val="006E0A14"/>
    <w:rsid w:val="006E24E6"/>
    <w:rsid w:val="006E412F"/>
    <w:rsid w:val="006F6240"/>
    <w:rsid w:val="006F62F8"/>
    <w:rsid w:val="00704574"/>
    <w:rsid w:val="00713B34"/>
    <w:rsid w:val="00717254"/>
    <w:rsid w:val="007249F5"/>
    <w:rsid w:val="007259A0"/>
    <w:rsid w:val="00733D8F"/>
    <w:rsid w:val="00736421"/>
    <w:rsid w:val="00744EF4"/>
    <w:rsid w:val="00773484"/>
    <w:rsid w:val="00777C6E"/>
    <w:rsid w:val="007823B2"/>
    <w:rsid w:val="0078486C"/>
    <w:rsid w:val="007860C0"/>
    <w:rsid w:val="00793484"/>
    <w:rsid w:val="00794235"/>
    <w:rsid w:val="007A72A3"/>
    <w:rsid w:val="007B0BBB"/>
    <w:rsid w:val="007B7BC8"/>
    <w:rsid w:val="007C03E3"/>
    <w:rsid w:val="007C2C8A"/>
    <w:rsid w:val="007D0E1B"/>
    <w:rsid w:val="008041BE"/>
    <w:rsid w:val="00806DDF"/>
    <w:rsid w:val="008101B7"/>
    <w:rsid w:val="00810449"/>
    <w:rsid w:val="00824CD4"/>
    <w:rsid w:val="00845912"/>
    <w:rsid w:val="008562C0"/>
    <w:rsid w:val="00864BAF"/>
    <w:rsid w:val="0088793A"/>
    <w:rsid w:val="00897B7D"/>
    <w:rsid w:val="008B1D7D"/>
    <w:rsid w:val="008B4A0E"/>
    <w:rsid w:val="008C6D67"/>
    <w:rsid w:val="008F1BE4"/>
    <w:rsid w:val="008F5FC8"/>
    <w:rsid w:val="00917422"/>
    <w:rsid w:val="009211F7"/>
    <w:rsid w:val="0092416B"/>
    <w:rsid w:val="009245D5"/>
    <w:rsid w:val="0096092A"/>
    <w:rsid w:val="00964D40"/>
    <w:rsid w:val="00966780"/>
    <w:rsid w:val="0097290B"/>
    <w:rsid w:val="00974467"/>
    <w:rsid w:val="00981460"/>
    <w:rsid w:val="00994AEE"/>
    <w:rsid w:val="009A2B05"/>
    <w:rsid w:val="009A6591"/>
    <w:rsid w:val="009B70CE"/>
    <w:rsid w:val="009C246A"/>
    <w:rsid w:val="009C5215"/>
    <w:rsid w:val="009C5A99"/>
    <w:rsid w:val="009D5AFE"/>
    <w:rsid w:val="009D739E"/>
    <w:rsid w:val="009E19AE"/>
    <w:rsid w:val="009F4968"/>
    <w:rsid w:val="009F6283"/>
    <w:rsid w:val="00A1615F"/>
    <w:rsid w:val="00A20BF0"/>
    <w:rsid w:val="00A31942"/>
    <w:rsid w:val="00A321DC"/>
    <w:rsid w:val="00A37E7D"/>
    <w:rsid w:val="00A433FA"/>
    <w:rsid w:val="00A44140"/>
    <w:rsid w:val="00A50FE6"/>
    <w:rsid w:val="00A65BD5"/>
    <w:rsid w:val="00A71013"/>
    <w:rsid w:val="00A929F3"/>
    <w:rsid w:val="00AA6752"/>
    <w:rsid w:val="00AB36BB"/>
    <w:rsid w:val="00AB4B27"/>
    <w:rsid w:val="00AB63EC"/>
    <w:rsid w:val="00AE34BF"/>
    <w:rsid w:val="00AE3CBA"/>
    <w:rsid w:val="00B162EB"/>
    <w:rsid w:val="00B1784B"/>
    <w:rsid w:val="00B20FB0"/>
    <w:rsid w:val="00B31D47"/>
    <w:rsid w:val="00B33DA7"/>
    <w:rsid w:val="00B3786C"/>
    <w:rsid w:val="00B54C8A"/>
    <w:rsid w:val="00B603B4"/>
    <w:rsid w:val="00B67297"/>
    <w:rsid w:val="00B7052F"/>
    <w:rsid w:val="00B71665"/>
    <w:rsid w:val="00B7562B"/>
    <w:rsid w:val="00B84923"/>
    <w:rsid w:val="00B9392A"/>
    <w:rsid w:val="00BA502A"/>
    <w:rsid w:val="00BB25AA"/>
    <w:rsid w:val="00BC3D5F"/>
    <w:rsid w:val="00BC62E3"/>
    <w:rsid w:val="00BD1E89"/>
    <w:rsid w:val="00BE0222"/>
    <w:rsid w:val="00BE69A1"/>
    <w:rsid w:val="00BE7127"/>
    <w:rsid w:val="00BF333A"/>
    <w:rsid w:val="00C02347"/>
    <w:rsid w:val="00C06E1E"/>
    <w:rsid w:val="00C223FB"/>
    <w:rsid w:val="00C52FCC"/>
    <w:rsid w:val="00C55C81"/>
    <w:rsid w:val="00C601A6"/>
    <w:rsid w:val="00C602B2"/>
    <w:rsid w:val="00C71FDE"/>
    <w:rsid w:val="00C9612A"/>
    <w:rsid w:val="00CA4CDD"/>
    <w:rsid w:val="00CC0B25"/>
    <w:rsid w:val="00CD0D59"/>
    <w:rsid w:val="00CD3D61"/>
    <w:rsid w:val="00CE4772"/>
    <w:rsid w:val="00CF1E6A"/>
    <w:rsid w:val="00D00099"/>
    <w:rsid w:val="00D04BE9"/>
    <w:rsid w:val="00D04C40"/>
    <w:rsid w:val="00D15EA8"/>
    <w:rsid w:val="00D3649F"/>
    <w:rsid w:val="00D415FF"/>
    <w:rsid w:val="00D42DA7"/>
    <w:rsid w:val="00D43767"/>
    <w:rsid w:val="00D44A86"/>
    <w:rsid w:val="00D50CA1"/>
    <w:rsid w:val="00D56134"/>
    <w:rsid w:val="00D66CF4"/>
    <w:rsid w:val="00D704E3"/>
    <w:rsid w:val="00D7730F"/>
    <w:rsid w:val="00D83274"/>
    <w:rsid w:val="00D84185"/>
    <w:rsid w:val="00DA1E9F"/>
    <w:rsid w:val="00DA45E4"/>
    <w:rsid w:val="00DA5F9E"/>
    <w:rsid w:val="00DA700E"/>
    <w:rsid w:val="00DC7BC5"/>
    <w:rsid w:val="00DD2F80"/>
    <w:rsid w:val="00DF7BF1"/>
    <w:rsid w:val="00E01D04"/>
    <w:rsid w:val="00E109F2"/>
    <w:rsid w:val="00E11369"/>
    <w:rsid w:val="00E438DD"/>
    <w:rsid w:val="00E5787F"/>
    <w:rsid w:val="00E722DC"/>
    <w:rsid w:val="00E7793C"/>
    <w:rsid w:val="00E806A9"/>
    <w:rsid w:val="00E814B8"/>
    <w:rsid w:val="00E83449"/>
    <w:rsid w:val="00E90475"/>
    <w:rsid w:val="00EA0768"/>
    <w:rsid w:val="00EA25AD"/>
    <w:rsid w:val="00EB73F9"/>
    <w:rsid w:val="00EC043D"/>
    <w:rsid w:val="00EC1BEF"/>
    <w:rsid w:val="00ED05E7"/>
    <w:rsid w:val="00ED3898"/>
    <w:rsid w:val="00EE6F16"/>
    <w:rsid w:val="00EF3730"/>
    <w:rsid w:val="00EF3E19"/>
    <w:rsid w:val="00EF45C6"/>
    <w:rsid w:val="00EF46CC"/>
    <w:rsid w:val="00F01CE3"/>
    <w:rsid w:val="00F06AE9"/>
    <w:rsid w:val="00F070B4"/>
    <w:rsid w:val="00F071B8"/>
    <w:rsid w:val="00F11B50"/>
    <w:rsid w:val="00F16477"/>
    <w:rsid w:val="00F35D9B"/>
    <w:rsid w:val="00F503DA"/>
    <w:rsid w:val="00F52113"/>
    <w:rsid w:val="00F541F4"/>
    <w:rsid w:val="00F65444"/>
    <w:rsid w:val="00F71C12"/>
    <w:rsid w:val="00F76142"/>
    <w:rsid w:val="00F86416"/>
    <w:rsid w:val="00FA1622"/>
    <w:rsid w:val="00FA3A24"/>
    <w:rsid w:val="00FA603D"/>
    <w:rsid w:val="00FB0EE9"/>
    <w:rsid w:val="00FB761F"/>
    <w:rsid w:val="00FC34A6"/>
    <w:rsid w:val="00FC79A8"/>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B8AD5-A201-4D05-9240-1FEC2833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
      </w:numPr>
      <w:spacing w:before="120"/>
    </w:pPr>
  </w:style>
  <w:style w:type="paragraph" w:styleId="ListBullet2">
    <w:name w:val="List Bullet 2"/>
    <w:basedOn w:val="Normal"/>
    <w:link w:val="ListBullet2Char"/>
    <w:qFormat/>
    <w:rsid w:val="00ED05E7"/>
    <w:pPr>
      <w:numPr>
        <w:ilvl w:val="1"/>
        <w:numId w:val="3"/>
      </w:numPr>
      <w:spacing w:before="120"/>
      <w:ind w:left="1080" w:hanging="360"/>
    </w:pPr>
  </w:style>
  <w:style w:type="paragraph" w:styleId="ListBullet3">
    <w:name w:val="List Bullet 3"/>
    <w:basedOn w:val="Normal"/>
    <w:qFormat/>
    <w:rsid w:val="00335A26"/>
    <w:pPr>
      <w:numPr>
        <w:ilvl w:val="2"/>
        <w:numId w:val="3"/>
      </w:numPr>
      <w:spacing w:before="120"/>
    </w:pPr>
  </w:style>
  <w:style w:type="paragraph" w:styleId="ListBullet4">
    <w:name w:val="List Bullet 4"/>
    <w:basedOn w:val="Normal"/>
    <w:qFormat/>
    <w:rsid w:val="00335A26"/>
    <w:pPr>
      <w:numPr>
        <w:ilvl w:val="3"/>
        <w:numId w:val="3"/>
      </w:numPr>
      <w:spacing w:before="120"/>
    </w:pPr>
  </w:style>
  <w:style w:type="paragraph" w:styleId="ListBullet5">
    <w:name w:val="List Bullet 5"/>
    <w:basedOn w:val="Normal"/>
    <w:qFormat/>
    <w:rsid w:val="00335A26"/>
    <w:pPr>
      <w:numPr>
        <w:ilvl w:val="4"/>
        <w:numId w:val="3"/>
      </w:numPr>
      <w:spacing w:before="120"/>
    </w:pPr>
  </w:style>
  <w:style w:type="numbering" w:customStyle="1" w:styleId="AgralyticaBullets">
    <w:name w:val="Agralytica Bullets"/>
    <w:uiPriority w:val="99"/>
    <w:rsid w:val="00335A26"/>
    <w:pPr>
      <w:numPr>
        <w:numId w:val="1"/>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paragraph" w:styleId="BodyText2">
    <w:name w:val="Body Text 2"/>
    <w:basedOn w:val="Normal"/>
    <w:link w:val="BodyText2Char"/>
    <w:semiHidden/>
    <w:unhideWhenUsed/>
    <w:rsid w:val="008041BE"/>
    <w:pPr>
      <w:spacing w:line="240" w:lineRule="auto"/>
      <w:jc w:val="both"/>
    </w:pPr>
    <w:rPr>
      <w:rFonts w:ascii="Times New Roman" w:hAnsi="Times New Roman" w:cs="Times New Roman"/>
      <w:bCs w:val="0"/>
      <w:kern w:val="0"/>
      <w:sz w:val="24"/>
      <w:szCs w:val="20"/>
    </w:rPr>
  </w:style>
  <w:style w:type="character" w:customStyle="1" w:styleId="BodyText2Char">
    <w:name w:val="Body Text 2 Char"/>
    <w:basedOn w:val="DefaultParagraphFont"/>
    <w:link w:val="BodyText2"/>
    <w:semiHidden/>
    <w:rsid w:val="008041B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3068527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1193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ybeanresearchdat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65EF2-99D4-4DF5-A0BF-D4F8D75F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Davis, Connie</cp:lastModifiedBy>
  <cp:revision>2</cp:revision>
  <cp:lastPrinted>2015-12-03T22:07:00Z</cp:lastPrinted>
  <dcterms:created xsi:type="dcterms:W3CDTF">2020-11-16T15:26:00Z</dcterms:created>
  <dcterms:modified xsi:type="dcterms:W3CDTF">2020-11-16T15:26:00Z</dcterms:modified>
</cp:coreProperties>
</file>