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7C5D" w14:textId="48242BC2" w:rsidR="006B3B1D" w:rsidRDefault="001D58A9">
      <w:pPr>
        <w:rPr>
          <w:b/>
        </w:rPr>
      </w:pPr>
      <w:r>
        <w:rPr>
          <w:b/>
        </w:rPr>
        <w:t>Late season plant</w:t>
      </w:r>
      <w:r w:rsidR="00E63505">
        <w:rPr>
          <w:b/>
        </w:rPr>
        <w:t>ed c</w:t>
      </w:r>
      <w:r w:rsidR="004778C9" w:rsidRPr="004778C9">
        <w:rPr>
          <w:b/>
        </w:rPr>
        <w:t xml:space="preserve">over crop </w:t>
      </w:r>
      <w:r w:rsidR="00E63505">
        <w:rPr>
          <w:b/>
        </w:rPr>
        <w:t>tolerance</w:t>
      </w:r>
      <w:r w:rsidR="004778C9" w:rsidRPr="004778C9">
        <w:rPr>
          <w:b/>
        </w:rPr>
        <w:t xml:space="preserve"> to soybean herbicides</w:t>
      </w:r>
    </w:p>
    <w:p w14:paraId="3F8FEB34" w14:textId="77777777" w:rsidR="00114C8F" w:rsidRPr="00114C8F" w:rsidRDefault="00114C8F">
      <w:r w:rsidRPr="00114C8F">
        <w:t xml:space="preserve">Greg Endres, Kirk Howatt, </w:t>
      </w:r>
      <w:r>
        <w:t xml:space="preserve">Joseph Mettler and </w:t>
      </w:r>
      <w:r w:rsidRPr="00114C8F">
        <w:t>Mike Ostlie</w:t>
      </w:r>
      <w:bookmarkStart w:id="0" w:name="_GoBack"/>
      <w:bookmarkEnd w:id="0"/>
    </w:p>
    <w:p w14:paraId="0F3F07A1" w14:textId="77777777" w:rsidR="00C86577" w:rsidRDefault="00C86577"/>
    <w:p w14:paraId="001467E2" w14:textId="77777777" w:rsidR="004778C9" w:rsidRDefault="004778C9">
      <w:r>
        <w:t xml:space="preserve">Numerous considerations are needed to plan and </w:t>
      </w:r>
      <w:r w:rsidR="00114C8F">
        <w:t>utilize</w:t>
      </w:r>
      <w:r>
        <w:t xml:space="preserve"> cover crops as part of farm management. Besides setting goals for cover crop use, field history of herbicides</w:t>
      </w:r>
      <w:r w:rsidR="00A818DA">
        <w:t xml:space="preserve"> needs to be considered to avoid loss of cover crop stands due to herbicide residuals in the soil. </w:t>
      </w:r>
    </w:p>
    <w:p w14:paraId="29E20C04" w14:textId="77777777" w:rsidR="00114C8F" w:rsidRDefault="00114C8F">
      <w:r>
        <w:t xml:space="preserve">Previous research coordinated by the Carrington Research Extension Center resulted in a table that displayed various risk levels </w:t>
      </w:r>
      <w:r w:rsidR="00C86577">
        <w:t>with planting cover crops on ground previously treated with wheat herbicides that have soil residues. A similar study followed to build a database indicating cover crop tolerance to soybean herbicides with potential soil residues.</w:t>
      </w:r>
    </w:p>
    <w:p w14:paraId="5FF3B0CC" w14:textId="77777777" w:rsidR="004D63C4" w:rsidRDefault="004D63C4">
      <w:r>
        <w:t>In 2016, an initial trial was conducted in Fargo to determine the tolerance of common cover crops to selected corn and soybean herbicides. The soybean data from the trial w</w:t>
      </w:r>
      <w:r w:rsidR="005318F3">
        <w:t xml:space="preserve">ere </w:t>
      </w:r>
      <w:r>
        <w:t xml:space="preserve">considered as a formal </w:t>
      </w:r>
      <w:bookmarkStart w:id="1" w:name="_Hlk75936590"/>
      <w:r>
        <w:t xml:space="preserve">study was conducted at Carrington and Fargo </w:t>
      </w:r>
      <w:r w:rsidR="006D24A5">
        <w:t>during 2018-20</w:t>
      </w:r>
      <w:r w:rsidR="0062512A">
        <w:t xml:space="preserve">. </w:t>
      </w:r>
      <w:r w:rsidR="00DE6407">
        <w:t>The study included n</w:t>
      </w:r>
      <w:r w:rsidR="0062512A">
        <w:t xml:space="preserve">ine </w:t>
      </w:r>
      <w:r>
        <w:t>soybean h</w:t>
      </w:r>
      <w:r w:rsidR="006D24A5">
        <w:t xml:space="preserve">erbicides and </w:t>
      </w:r>
      <w:r w:rsidR="00DE6407">
        <w:t>eight</w:t>
      </w:r>
      <w:r w:rsidR="006D24A5">
        <w:t xml:space="preserve"> cover crops. </w:t>
      </w:r>
      <w:bookmarkEnd w:id="1"/>
      <w:r w:rsidR="006D24A5">
        <w:t xml:space="preserve">The study was </w:t>
      </w:r>
      <w:r w:rsidR="00DE6407">
        <w:t xml:space="preserve">financially </w:t>
      </w:r>
      <w:r w:rsidR="006D24A5">
        <w:t>supported by the North Dakota Soybean Council.</w:t>
      </w:r>
    </w:p>
    <w:p w14:paraId="22D26431" w14:textId="77777777" w:rsidR="0062512A" w:rsidRDefault="0062512A">
      <w:bookmarkStart w:id="2" w:name="_Hlk75936670"/>
      <w:r>
        <w:t xml:space="preserve">Soil and post-emergence herbicides were applied at labeled rates and timings to soybean. </w:t>
      </w:r>
      <w:r w:rsidR="00DE6407">
        <w:t xml:space="preserve">The crop was mowed during August </w:t>
      </w:r>
      <w:r w:rsidR="006214ED">
        <w:t xml:space="preserve">(seed-fill stages) </w:t>
      </w:r>
      <w:r w:rsidR="00DE6407">
        <w:t>and cover crop</w:t>
      </w:r>
      <w:r w:rsidR="006214ED">
        <w:t>s</w:t>
      </w:r>
      <w:r w:rsidR="00DE6407">
        <w:t xml:space="preserve"> direct planted into the soybean stubble generally late August to early September. </w:t>
      </w:r>
      <w:r w:rsidR="006214ED">
        <w:t>V</w:t>
      </w:r>
      <w:r w:rsidR="00DE6407" w:rsidRPr="00DE6407">
        <w:t xml:space="preserve">isual evaluation of injury (biomass and/or stand reduction) </w:t>
      </w:r>
      <w:r w:rsidR="006214ED">
        <w:t>began</w:t>
      </w:r>
      <w:r w:rsidR="00DE6407" w:rsidRPr="00DE6407">
        <w:t xml:space="preserve"> generally in late September </w:t>
      </w:r>
      <w:r w:rsidR="00DE6407">
        <w:t>(</w:t>
      </w:r>
      <w:r w:rsidR="00DE6407" w:rsidRPr="00DE6407">
        <w:t>3-4 months after application of herbicides</w:t>
      </w:r>
      <w:r w:rsidR="00DE6407">
        <w:t>)</w:t>
      </w:r>
      <w:r w:rsidR="00DE6407" w:rsidRPr="00DE6407">
        <w:t>.</w:t>
      </w:r>
    </w:p>
    <w:bookmarkEnd w:id="2"/>
    <w:p w14:paraId="7C5A7CB8" w14:textId="61E02968" w:rsidR="0041331E" w:rsidRDefault="006D24A5">
      <w:r>
        <w:t xml:space="preserve">The study resulted in a six site-year database that was summarized in the following table. The table </w:t>
      </w:r>
      <w:r w:rsidR="000851B2">
        <w:t>is</w:t>
      </w:r>
      <w:r>
        <w:t xml:space="preserve"> published in the </w:t>
      </w:r>
      <w:r w:rsidR="0062512A">
        <w:t xml:space="preserve">NDSU </w:t>
      </w:r>
      <w:r w:rsidR="000851B2">
        <w:t xml:space="preserve">Extension </w:t>
      </w:r>
      <w:r>
        <w:t>2021 ND Weed Control Guide</w:t>
      </w:r>
      <w:r w:rsidR="000851B2">
        <w:t xml:space="preserve"> (p. 106)</w:t>
      </w:r>
      <w:r>
        <w:t>.</w:t>
      </w:r>
      <w:r w:rsidR="003913AC">
        <w:t xml:space="preserve"> </w:t>
      </w:r>
    </w:p>
    <w:p w14:paraId="6FA1567E" w14:textId="1B800634" w:rsidR="008A055D" w:rsidRDefault="008A055D"/>
    <w:p w14:paraId="197AB80F" w14:textId="13F3CFA6" w:rsidR="008A055D" w:rsidRDefault="008A055D"/>
    <w:p w14:paraId="0B71CFA0" w14:textId="2836E912" w:rsidR="008A055D" w:rsidRDefault="008A055D"/>
    <w:p w14:paraId="5D981700" w14:textId="2EB7556F" w:rsidR="008A055D" w:rsidRDefault="008A055D"/>
    <w:p w14:paraId="4A555585" w14:textId="46BEB31F" w:rsidR="008A055D" w:rsidRDefault="008A055D"/>
    <w:p w14:paraId="1CEA8401" w14:textId="6BD6E8BC" w:rsidR="008A055D" w:rsidRDefault="008A055D"/>
    <w:p w14:paraId="2EAB745A" w14:textId="029B6482" w:rsidR="008A055D" w:rsidRDefault="008A055D"/>
    <w:p w14:paraId="1E6B9177" w14:textId="1FB84B97" w:rsidR="008A055D" w:rsidRDefault="008A055D"/>
    <w:p w14:paraId="7C38A3AA" w14:textId="23EB995C" w:rsidR="008A055D" w:rsidRDefault="008A055D"/>
    <w:p w14:paraId="206727C7" w14:textId="306DD077" w:rsidR="008A055D" w:rsidRDefault="008A055D"/>
    <w:p w14:paraId="7FE33088" w14:textId="77777777" w:rsidR="008A055D" w:rsidRDefault="008A055D"/>
    <w:p w14:paraId="0D506FDD" w14:textId="77777777" w:rsidR="008A055D" w:rsidRDefault="008A055D" w:rsidP="00683351">
      <w:r>
        <w:fldChar w:fldCharType="begin"/>
      </w:r>
      <w:r>
        <w:instrText xml:space="preserve"> LINK Excel.Sheet.8 "https://ndusbpos-my.sharepoint.com/personal/gregory_endres_ndus_edu/Documents/Desktop/Table%20soyherb%20CC.xls" "Sheet1!R1C1:R15C10" \a \f 4 \h </w:instrText>
      </w:r>
      <w:r>
        <w:fldChar w:fldCharType="separate"/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706"/>
        <w:gridCol w:w="1571"/>
        <w:gridCol w:w="783"/>
        <w:gridCol w:w="1052"/>
        <w:gridCol w:w="960"/>
        <w:gridCol w:w="628"/>
        <w:gridCol w:w="947"/>
        <w:gridCol w:w="947"/>
        <w:gridCol w:w="947"/>
        <w:gridCol w:w="2083"/>
      </w:tblGrid>
      <w:tr w:rsidR="008A055D" w:rsidRPr="008A055D" w14:paraId="203FEB48" w14:textId="77777777" w:rsidTr="008A055D">
        <w:trPr>
          <w:trHeight w:val="408"/>
        </w:trPr>
        <w:tc>
          <w:tcPr>
            <w:tcW w:w="106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7D68" w14:textId="2999D36B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Risk of cover crop injury due to soybean herbicides with soil residual, Carrington and Fargo, 2016-20.</w:t>
            </w:r>
            <w:r w:rsidRPr="008A055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8A055D" w:rsidRPr="008A055D" w14:paraId="626D9C62" w14:textId="77777777" w:rsidTr="008A055D">
        <w:trPr>
          <w:trHeight w:val="264"/>
        </w:trPr>
        <w:tc>
          <w:tcPr>
            <w:tcW w:w="7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31DD3B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Site-years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01037D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 xml:space="preserve">Herbicide </w:t>
            </w:r>
          </w:p>
        </w:tc>
        <w:tc>
          <w:tcPr>
            <w:tcW w:w="82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B133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 xml:space="preserve">Risk of cover crop injury </w:t>
            </w:r>
          </w:p>
        </w:tc>
      </w:tr>
      <w:tr w:rsidR="008A055D" w:rsidRPr="008A055D" w14:paraId="6B6C6802" w14:textId="77777777" w:rsidTr="008A055D">
        <w:trPr>
          <w:trHeight w:val="600"/>
        </w:trPr>
        <w:tc>
          <w:tcPr>
            <w:tcW w:w="7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1557E9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DA463C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354C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Barley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AAC14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Winter rye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864B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Field pea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BA39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Flax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575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Radish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6274D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Turnip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EA37E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Lentil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2EF8A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Rapeseed/Canola</w:t>
            </w:r>
          </w:p>
        </w:tc>
      </w:tr>
      <w:tr w:rsidR="008A055D" w:rsidRPr="008A055D" w14:paraId="7B770DBE" w14:textId="77777777" w:rsidTr="008A055D">
        <w:trPr>
          <w:trHeight w:val="40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DA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B4C85A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Soil</w:t>
            </w:r>
          </w:p>
        </w:tc>
      </w:tr>
      <w:tr w:rsidR="008A055D" w:rsidRPr="008A055D" w14:paraId="15794009" w14:textId="77777777" w:rsidTr="008A055D">
        <w:trPr>
          <w:trHeight w:val="372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72531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8352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A055D">
              <w:rPr>
                <w:rFonts w:ascii="Arial" w:eastAsia="Times New Roman" w:hAnsi="Arial" w:cs="Arial"/>
                <w:sz w:val="20"/>
                <w:szCs w:val="20"/>
              </w:rPr>
              <w:t>Sencor</w:t>
            </w:r>
            <w:proofErr w:type="spellEnd"/>
            <w:r w:rsidRPr="008A055D">
              <w:rPr>
                <w:rFonts w:ascii="Arial" w:eastAsia="Times New Roman" w:hAnsi="Arial" w:cs="Arial"/>
                <w:sz w:val="20"/>
                <w:szCs w:val="20"/>
              </w:rPr>
              <w:t xml:space="preserve"> 75 DF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B55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D57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40C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6A58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3B7F1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0469B2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C701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3613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</w:tr>
      <w:tr w:rsidR="008A055D" w:rsidRPr="008A055D" w14:paraId="36557044" w14:textId="77777777" w:rsidTr="008A055D">
        <w:trPr>
          <w:trHeight w:val="36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A5788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FA7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Spartan 4F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6219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1087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F4C4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E86E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729AD02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DF190B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D08374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4FC56B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</w:tr>
      <w:tr w:rsidR="008A055D" w:rsidRPr="008A055D" w14:paraId="214CA26C" w14:textId="77777777" w:rsidTr="008A055D">
        <w:trPr>
          <w:trHeight w:val="36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A4BE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BDCE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Valor SX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44D3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4D5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B6E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8DC8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01D2CC4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A4B1F77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DDEA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C08310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</w:p>
        </w:tc>
      </w:tr>
      <w:tr w:rsidR="008A055D" w:rsidRPr="008A055D" w14:paraId="79F3D793" w14:textId="77777777" w:rsidTr="008A055D">
        <w:trPr>
          <w:trHeight w:val="36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FBF69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DF22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A055D">
              <w:rPr>
                <w:rFonts w:ascii="Arial" w:eastAsia="Times New Roman" w:hAnsi="Arial" w:cs="Arial"/>
                <w:sz w:val="20"/>
                <w:szCs w:val="20"/>
              </w:rPr>
              <w:t>Zidua</w:t>
            </w:r>
            <w:proofErr w:type="spellEnd"/>
            <w:r w:rsidRPr="008A055D">
              <w:rPr>
                <w:rFonts w:ascii="Arial" w:eastAsia="Times New Roman" w:hAnsi="Arial" w:cs="Arial"/>
                <w:sz w:val="20"/>
                <w:szCs w:val="20"/>
              </w:rPr>
              <w:t xml:space="preserve"> SC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F9D6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27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291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BA21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995B94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239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539B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44ABB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</w:tr>
      <w:tr w:rsidR="008A055D" w:rsidRPr="008A055D" w14:paraId="1CC5D4DC" w14:textId="77777777" w:rsidTr="008A055D">
        <w:trPr>
          <w:trHeight w:val="36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2151F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0FD5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Pursuit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932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060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CE07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5F39EB7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E1C807D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67A031D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6937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629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</w:tr>
      <w:tr w:rsidR="008A055D" w:rsidRPr="008A055D" w14:paraId="12F1C666" w14:textId="77777777" w:rsidTr="008A055D">
        <w:trPr>
          <w:trHeight w:val="40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B08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317CBCA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</w:t>
            </w:r>
          </w:p>
        </w:tc>
      </w:tr>
      <w:tr w:rsidR="008A055D" w:rsidRPr="008A055D" w14:paraId="707219B2" w14:textId="77777777" w:rsidTr="008A055D">
        <w:trPr>
          <w:trHeight w:val="40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4EB81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B9366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A055D">
              <w:rPr>
                <w:rFonts w:ascii="Arial" w:eastAsia="Times New Roman" w:hAnsi="Arial" w:cs="Arial"/>
                <w:sz w:val="20"/>
                <w:szCs w:val="20"/>
              </w:rPr>
              <w:t>Engenia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7A3B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22E4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6F87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5AB3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318A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2A90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F53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FB43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</w:tr>
      <w:tr w:rsidR="008A055D" w:rsidRPr="008A055D" w14:paraId="73555213" w14:textId="77777777" w:rsidTr="008A055D">
        <w:trPr>
          <w:trHeight w:val="36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0B221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8E8F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A055D">
              <w:rPr>
                <w:rFonts w:ascii="Arial" w:eastAsia="Times New Roman" w:hAnsi="Arial" w:cs="Arial"/>
                <w:sz w:val="20"/>
                <w:szCs w:val="20"/>
              </w:rPr>
              <w:t>Flexstar</w:t>
            </w:r>
            <w:proofErr w:type="spellEnd"/>
            <w:r w:rsidRPr="008A05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AD03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143F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8BA8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C8B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6F0F966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9C7CEB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2C6C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C1F808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</w:tr>
      <w:tr w:rsidR="008A055D" w:rsidRPr="008A055D" w14:paraId="678CB91E" w14:textId="77777777" w:rsidTr="008A055D">
        <w:trPr>
          <w:trHeight w:val="36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A96D1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8A9C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 xml:space="preserve">Liberty 280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95E1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8BC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C36E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3C03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22E4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82EF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D94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316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</w:tr>
      <w:tr w:rsidR="008A055D" w:rsidRPr="008A055D" w14:paraId="3F9B128E" w14:textId="77777777" w:rsidTr="008A055D">
        <w:trPr>
          <w:trHeight w:val="36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6A3D8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572E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Raptor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6503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41B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3ED9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286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D15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18F4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18D1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CB0A" w14:textId="77777777" w:rsidR="008A055D" w:rsidRPr="008A055D" w:rsidRDefault="008A055D" w:rsidP="008A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</w:tr>
      <w:tr w:rsidR="008A055D" w:rsidRPr="008A055D" w14:paraId="5F386B84" w14:textId="77777777" w:rsidTr="008A055D">
        <w:trPr>
          <w:trHeight w:val="600"/>
        </w:trPr>
        <w:tc>
          <w:tcPr>
            <w:tcW w:w="1062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395D9" w14:textId="77777777" w:rsidR="008A055D" w:rsidRPr="008A055D" w:rsidRDefault="008A055D" w:rsidP="008A0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055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r w:rsidRPr="008A055D">
              <w:rPr>
                <w:rFonts w:ascii="Arial" w:eastAsia="Times New Roman" w:hAnsi="Arial" w:cs="Arial"/>
                <w:sz w:val="20"/>
                <w:szCs w:val="20"/>
              </w:rPr>
              <w:t xml:space="preserve">Low risk = 0-20% injury; Medium risk = 21-50% injury; and High risk = &gt;50% injury. Greatest injury recorded for each </w:t>
            </w:r>
            <w:proofErr w:type="spellStart"/>
            <w:r w:rsidRPr="008A055D">
              <w:rPr>
                <w:rFonts w:ascii="Arial" w:eastAsia="Times New Roman" w:hAnsi="Arial" w:cs="Arial"/>
                <w:sz w:val="20"/>
                <w:szCs w:val="20"/>
              </w:rPr>
              <w:t>treament</w:t>
            </w:r>
            <w:proofErr w:type="spellEnd"/>
            <w:r w:rsidRPr="008A055D">
              <w:rPr>
                <w:rFonts w:ascii="Arial" w:eastAsia="Times New Roman" w:hAnsi="Arial" w:cs="Arial"/>
                <w:sz w:val="20"/>
                <w:szCs w:val="20"/>
              </w:rPr>
              <w:t xml:space="preserve"> was used to determine risk level.</w:t>
            </w:r>
          </w:p>
        </w:tc>
      </w:tr>
    </w:tbl>
    <w:p w14:paraId="4EEAB4BF" w14:textId="77777777" w:rsidR="008A055D" w:rsidRDefault="008A055D">
      <w:r>
        <w:fldChar w:fldCharType="end"/>
      </w:r>
    </w:p>
    <w:p w14:paraId="743255B9" w14:textId="57D62F8A" w:rsidR="006D24A5" w:rsidRDefault="0041331E">
      <w:bookmarkStart w:id="3" w:name="_Hlk75936756"/>
      <w:r>
        <w:t>All herbicides, except Liberty 280, injured cover crops. Barley, winter rye</w:t>
      </w:r>
      <w:r w:rsidR="00226BDF">
        <w:t xml:space="preserve"> and</w:t>
      </w:r>
      <w:r>
        <w:t xml:space="preserve"> field pea had the greatest tolerance to herbicides. Radish, turnip and rapeseed/canola generally had the least tolerance to herbicides. </w:t>
      </w:r>
      <w:r w:rsidR="003C20B5">
        <w:t>T</w:t>
      </w:r>
      <w:r w:rsidR="003C20B5" w:rsidRPr="003C20B5">
        <w:t>he</w:t>
      </w:r>
      <w:r w:rsidR="003D4189">
        <w:t>se h</w:t>
      </w:r>
      <w:r w:rsidR="003C20B5" w:rsidRPr="003C20B5">
        <w:t xml:space="preserve">erbicides </w:t>
      </w:r>
      <w:r w:rsidR="003D4189">
        <w:t xml:space="preserve">potentially have </w:t>
      </w:r>
      <w:r w:rsidR="003D4189" w:rsidRPr="003D4189">
        <w:t xml:space="preserve">high risk of injury </w:t>
      </w:r>
      <w:r w:rsidR="003D4189">
        <w:t>for</w:t>
      </w:r>
      <w:r w:rsidR="003C20B5" w:rsidRPr="003C20B5">
        <w:t xml:space="preserve"> cover crops</w:t>
      </w:r>
      <w:r w:rsidR="00226BDF">
        <w:t xml:space="preserve">: Spartan=radish; Valor=radish, turnip and rapeseed/canola; Pursuit=flax, radish and turnip; and </w:t>
      </w:r>
      <w:proofErr w:type="spellStart"/>
      <w:r w:rsidR="00226BDF">
        <w:t>Flexstar</w:t>
      </w:r>
      <w:proofErr w:type="spellEnd"/>
      <w:r w:rsidR="00226BDF">
        <w:t>=radish.</w:t>
      </w:r>
    </w:p>
    <w:bookmarkEnd w:id="3"/>
    <w:p w14:paraId="53671BFD" w14:textId="77777777" w:rsidR="00024C8E" w:rsidRDefault="00024C8E"/>
    <w:p w14:paraId="4A0F8F8B" w14:textId="77777777" w:rsidR="0062512A" w:rsidRDefault="0062512A"/>
    <w:sectPr w:rsidR="0062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C9"/>
    <w:rsid w:val="00024C8E"/>
    <w:rsid w:val="000851B2"/>
    <w:rsid w:val="00114C8F"/>
    <w:rsid w:val="001D58A9"/>
    <w:rsid w:val="00226BDF"/>
    <w:rsid w:val="003913AC"/>
    <w:rsid w:val="003C20B5"/>
    <w:rsid w:val="003D4189"/>
    <w:rsid w:val="0041331E"/>
    <w:rsid w:val="004778C9"/>
    <w:rsid w:val="004D63C4"/>
    <w:rsid w:val="005318F3"/>
    <w:rsid w:val="006214ED"/>
    <w:rsid w:val="0062512A"/>
    <w:rsid w:val="00683351"/>
    <w:rsid w:val="006B3B1D"/>
    <w:rsid w:val="006D24A5"/>
    <w:rsid w:val="008A055D"/>
    <w:rsid w:val="00A818DA"/>
    <w:rsid w:val="00C86577"/>
    <w:rsid w:val="00DE6407"/>
    <w:rsid w:val="00E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DA7C"/>
  <w15:chartTrackingRefBased/>
  <w15:docId w15:val="{FC532C1D-1B77-4A0C-95F5-DA2DEE7F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Endres</dc:creator>
  <cp:keywords/>
  <dc:description/>
  <cp:lastModifiedBy>Endres, Gregory</cp:lastModifiedBy>
  <cp:revision>12</cp:revision>
  <dcterms:created xsi:type="dcterms:W3CDTF">2020-11-10T22:22:00Z</dcterms:created>
  <dcterms:modified xsi:type="dcterms:W3CDTF">2021-06-30T14:45:00Z</dcterms:modified>
</cp:coreProperties>
</file>