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C0852" w14:textId="77777777" w:rsidR="0082103D" w:rsidRPr="00D96ED2" w:rsidRDefault="001F6397" w:rsidP="0082103D">
      <w:pPr>
        <w:jc w:val="center"/>
      </w:pPr>
      <w:r w:rsidRPr="00D96ED2">
        <w:rPr>
          <w:b/>
          <w:bCs/>
        </w:rPr>
        <w:t xml:space="preserve">Resistance of </w:t>
      </w:r>
      <w:r w:rsidR="00DA041C" w:rsidRPr="00D96ED2">
        <w:rPr>
          <w:b/>
          <w:bCs/>
        </w:rPr>
        <w:t>S</w:t>
      </w:r>
      <w:r w:rsidRPr="00D96ED2">
        <w:rPr>
          <w:b/>
          <w:bCs/>
        </w:rPr>
        <w:t xml:space="preserve">oybean </w:t>
      </w:r>
      <w:r w:rsidR="00DA041C" w:rsidRPr="00D96ED2">
        <w:rPr>
          <w:b/>
          <w:bCs/>
        </w:rPr>
        <w:t>C</w:t>
      </w:r>
      <w:r w:rsidRPr="00D96ED2">
        <w:rPr>
          <w:b/>
          <w:bCs/>
        </w:rPr>
        <w:t xml:space="preserve">ultivars to a </w:t>
      </w:r>
      <w:r w:rsidR="00DA041C" w:rsidRPr="00D96ED2">
        <w:rPr>
          <w:b/>
          <w:bCs/>
        </w:rPr>
        <w:t>N</w:t>
      </w:r>
      <w:r w:rsidRPr="00D96ED2">
        <w:rPr>
          <w:b/>
          <w:bCs/>
        </w:rPr>
        <w:t xml:space="preserve">ew </w:t>
      </w:r>
      <w:r w:rsidR="00DA041C" w:rsidRPr="00D96ED2">
        <w:rPr>
          <w:b/>
          <w:bCs/>
        </w:rPr>
        <w:t>R</w:t>
      </w:r>
      <w:r w:rsidRPr="00D96ED2">
        <w:rPr>
          <w:b/>
          <w:bCs/>
        </w:rPr>
        <w:t xml:space="preserve">oot-lesion </w:t>
      </w:r>
      <w:r w:rsidR="00DA041C" w:rsidRPr="00D96ED2">
        <w:rPr>
          <w:b/>
          <w:bCs/>
        </w:rPr>
        <w:t>N</w:t>
      </w:r>
      <w:r w:rsidRPr="00D96ED2">
        <w:rPr>
          <w:b/>
          <w:bCs/>
        </w:rPr>
        <w:t xml:space="preserve">ematode </w:t>
      </w:r>
      <w:r w:rsidR="00DA041C" w:rsidRPr="00D96ED2">
        <w:rPr>
          <w:b/>
          <w:bCs/>
        </w:rPr>
        <w:t>S</w:t>
      </w:r>
      <w:r w:rsidRPr="00D96ED2">
        <w:rPr>
          <w:b/>
          <w:bCs/>
        </w:rPr>
        <w:t xml:space="preserve">pecies in </w:t>
      </w:r>
      <w:r w:rsidR="00DA041C" w:rsidRPr="00D96ED2">
        <w:rPr>
          <w:b/>
          <w:bCs/>
        </w:rPr>
        <w:t>N</w:t>
      </w:r>
      <w:r w:rsidRPr="00D96ED2">
        <w:rPr>
          <w:b/>
          <w:bCs/>
        </w:rPr>
        <w:t xml:space="preserve">orth </w:t>
      </w:r>
      <w:r w:rsidR="00DA041C" w:rsidRPr="00D96ED2">
        <w:rPr>
          <w:b/>
          <w:bCs/>
        </w:rPr>
        <w:t>D</w:t>
      </w:r>
      <w:r w:rsidRPr="00D96ED2">
        <w:rPr>
          <w:b/>
          <w:bCs/>
        </w:rPr>
        <w:t>akota</w:t>
      </w:r>
    </w:p>
    <w:p w14:paraId="3BD7F05B" w14:textId="77777777" w:rsidR="0082103D" w:rsidRPr="00D96ED2" w:rsidRDefault="0082103D" w:rsidP="00C95840">
      <w:pPr>
        <w:ind w:firstLine="360"/>
        <w:jc w:val="center"/>
      </w:pPr>
      <w:r w:rsidRPr="00D96ED2">
        <w:t>TECHNICAL REPORT</w:t>
      </w:r>
    </w:p>
    <w:p w14:paraId="662CA03C" w14:textId="77777777" w:rsidR="0082103D" w:rsidRPr="00D96ED2" w:rsidRDefault="0082103D" w:rsidP="0082103D">
      <w:pPr>
        <w:jc w:val="center"/>
      </w:pPr>
      <w:r w:rsidRPr="00D96ED2">
        <w:t>NORTH DAKOTA SOYBEAN COUNCIL</w:t>
      </w:r>
    </w:p>
    <w:p w14:paraId="590BFB15" w14:textId="77777777" w:rsidR="0082103D" w:rsidRPr="00D96ED2" w:rsidRDefault="00DA041C" w:rsidP="0082103D">
      <w:pPr>
        <w:jc w:val="center"/>
      </w:pPr>
      <w:r w:rsidRPr="00D96ED2">
        <w:t>JUNE, 2021</w:t>
      </w:r>
    </w:p>
    <w:p w14:paraId="3BAC33F0" w14:textId="77777777" w:rsidR="00C95840" w:rsidRPr="00D96ED2" w:rsidRDefault="00C95840" w:rsidP="00C95840">
      <w:r w:rsidRPr="00D96ED2">
        <w:t>Dr. Guiping Yan, Principal Investigator, Dept. Plant Pathology, NDSU</w:t>
      </w:r>
    </w:p>
    <w:p w14:paraId="585159D3" w14:textId="77777777" w:rsidR="000C4FAD" w:rsidRPr="00D96ED2" w:rsidRDefault="008116E4" w:rsidP="00D45D9F">
      <w:r w:rsidRPr="00D96ED2">
        <w:t xml:space="preserve">    </w:t>
      </w:r>
      <w:r w:rsidR="00C72ED2" w:rsidRPr="00D96ED2">
        <w:t xml:space="preserve">  </w:t>
      </w:r>
      <w:r w:rsidR="000C4FAD" w:rsidRPr="00D96ED2">
        <w:t xml:space="preserve">Root-lesion nematodes </w:t>
      </w:r>
      <w:r w:rsidR="00B01F62" w:rsidRPr="00D96ED2">
        <w:t>(</w:t>
      </w:r>
      <w:r w:rsidR="00B01F62" w:rsidRPr="00D96ED2">
        <w:rPr>
          <w:i/>
        </w:rPr>
        <w:t xml:space="preserve">Pratylenchus </w:t>
      </w:r>
      <w:r w:rsidR="00B01F62" w:rsidRPr="00D96ED2">
        <w:t xml:space="preserve">spp.) </w:t>
      </w:r>
      <w:r w:rsidR="000C4FAD" w:rsidRPr="00D96ED2">
        <w:t>are one of the more destructive groups of plant-parasitic nematodes worldwide. These soil</w:t>
      </w:r>
      <w:r w:rsidR="00D96ED2">
        <w:t>-</w:t>
      </w:r>
      <w:r w:rsidR="000C4FAD" w:rsidRPr="00D96ED2">
        <w:t xml:space="preserve">borne </w:t>
      </w:r>
      <w:proofErr w:type="spellStart"/>
      <w:r w:rsidR="000C4FAD" w:rsidRPr="00D96ED2">
        <w:t>endoparasitic</w:t>
      </w:r>
      <w:proofErr w:type="spellEnd"/>
      <w:r w:rsidR="000C4FAD" w:rsidRPr="00D96ED2">
        <w:t xml:space="preserve"> pathogens have a wide host range, which includes soybean plants. In North Dakota, during 2015 and 2016, soil surveys of different soybean fields were conducted to determine the prevalence and distribution of plant-parasitic nematode</w:t>
      </w:r>
      <w:r w:rsidR="00B01F62" w:rsidRPr="00D96ED2">
        <w:t>s</w:t>
      </w:r>
      <w:r w:rsidR="000C4FAD" w:rsidRPr="00D96ED2">
        <w:t>. During the surveys six soil samples collected from a soybean field in Richland County</w:t>
      </w:r>
      <w:r w:rsidR="00B01F62" w:rsidRPr="00D96ED2">
        <w:t xml:space="preserve"> showed </w:t>
      </w:r>
      <w:r w:rsidR="000C4FAD" w:rsidRPr="00D96ED2">
        <w:t>that root-lesion nematodes were present in all of these samples with</w:t>
      </w:r>
      <w:r w:rsidR="00B01F62" w:rsidRPr="00D96ED2">
        <w:t xml:space="preserve"> </w:t>
      </w:r>
      <w:r w:rsidR="000C4FAD" w:rsidRPr="00D96ED2">
        <w:t>population densit</w:t>
      </w:r>
      <w:r w:rsidR="00B01F62" w:rsidRPr="00D96ED2">
        <w:t>ies</w:t>
      </w:r>
      <w:r w:rsidR="000C4FAD" w:rsidRPr="00D96ED2">
        <w:t xml:space="preserve"> ranging from 125 to 2,000 per kg of soil.</w:t>
      </w:r>
      <w:r w:rsidR="0036523A" w:rsidRPr="00D96ED2">
        <w:t xml:space="preserve"> Morphological </w:t>
      </w:r>
      <w:r w:rsidR="00B01F62" w:rsidRPr="00D96ED2">
        <w:t xml:space="preserve">and molecular tests </w:t>
      </w:r>
      <w:r w:rsidR="0036523A" w:rsidRPr="00D96ED2">
        <w:t xml:space="preserve">revealed that this nematode differs from other known species of root-lesion nematodes in both morphology and DNA sequences. </w:t>
      </w:r>
      <w:r w:rsidR="00B01F62" w:rsidRPr="00D96ED2">
        <w:t xml:space="preserve">In </w:t>
      </w:r>
      <w:r w:rsidR="0036523A" w:rsidRPr="00D96ED2">
        <w:t xml:space="preserve">2021, this new species of root-lesion nematode was named </w:t>
      </w:r>
      <w:r w:rsidRPr="00D96ED2">
        <w:t xml:space="preserve">as </w:t>
      </w:r>
      <w:r w:rsidR="0036523A" w:rsidRPr="00D96ED2">
        <w:rPr>
          <w:i/>
        </w:rPr>
        <w:t>Pratylenchus dakotaensis</w:t>
      </w:r>
      <w:r w:rsidRPr="00D96ED2">
        <w:t>, paying homage to the state in which it was discovered.</w:t>
      </w:r>
    </w:p>
    <w:p w14:paraId="43EFD31C" w14:textId="7199A154" w:rsidR="00B01A7D" w:rsidRPr="00D96ED2" w:rsidRDefault="008116E4" w:rsidP="00D45D9F">
      <w:r w:rsidRPr="00D96ED2">
        <w:t xml:space="preserve">    </w:t>
      </w:r>
      <w:r w:rsidR="00C72ED2" w:rsidRPr="00D96ED2">
        <w:t xml:space="preserve">  </w:t>
      </w:r>
      <w:r w:rsidR="0036523A" w:rsidRPr="00D96ED2">
        <w:t xml:space="preserve">Previous greenhouse studies to </w:t>
      </w:r>
      <w:r w:rsidR="00B01A7D" w:rsidRPr="00D96ED2">
        <w:t xml:space="preserve">ascertain resistance levels of 20 soybean cultivars to </w:t>
      </w:r>
      <w:r w:rsidR="00B01A7D" w:rsidRPr="00D96ED2">
        <w:rPr>
          <w:i/>
        </w:rPr>
        <w:t>P</w:t>
      </w:r>
      <w:r w:rsidR="00C95840" w:rsidRPr="00D96ED2">
        <w:rPr>
          <w:i/>
        </w:rPr>
        <w:t>.</w:t>
      </w:r>
      <w:r w:rsidR="00B01A7D" w:rsidRPr="00D96ED2">
        <w:rPr>
          <w:i/>
        </w:rPr>
        <w:t xml:space="preserve"> dakotaensis, </w:t>
      </w:r>
      <w:r w:rsidR="00B01A7D" w:rsidRPr="00D96ED2">
        <w:t xml:space="preserve">revealed that the resistance levels of those cultivars varied from moderately resistant to susceptible. However, none of the cultivars </w:t>
      </w:r>
      <w:r w:rsidRPr="00D96ED2">
        <w:t xml:space="preserve">tested </w:t>
      </w:r>
      <w:r w:rsidR="00B01A7D" w:rsidRPr="00D96ED2">
        <w:t xml:space="preserve">were resistant against </w:t>
      </w:r>
      <w:r w:rsidR="00B01A7D" w:rsidRPr="00D96ED2">
        <w:rPr>
          <w:i/>
        </w:rPr>
        <w:t>P. dakotaensis</w:t>
      </w:r>
      <w:r w:rsidR="00B01A7D" w:rsidRPr="00D96ED2">
        <w:t>. Hence the objective</w:t>
      </w:r>
      <w:r w:rsidR="00C72ED2" w:rsidRPr="00D96ED2">
        <w:t>s</w:t>
      </w:r>
      <w:r w:rsidR="00B01A7D" w:rsidRPr="00D96ED2">
        <w:t xml:space="preserve"> of this study w</w:t>
      </w:r>
      <w:r w:rsidR="00C72ED2" w:rsidRPr="00D96ED2">
        <w:t>ere</w:t>
      </w:r>
      <w:r w:rsidR="00B01A7D" w:rsidRPr="00D96ED2">
        <w:t xml:space="preserve"> to evaluate ten additional soybean cultivars to determine the levels of resistance to th</w:t>
      </w:r>
      <w:r w:rsidR="00A650B8">
        <w:t>is</w:t>
      </w:r>
      <w:r w:rsidR="00B01A7D" w:rsidRPr="00D96ED2">
        <w:t xml:space="preserve"> new root-lesion nematode species (</w:t>
      </w:r>
      <w:r w:rsidR="00B01A7D" w:rsidRPr="00D96ED2">
        <w:rPr>
          <w:i/>
        </w:rPr>
        <w:t>P</w:t>
      </w:r>
      <w:r w:rsidR="00C95840" w:rsidRPr="00D96ED2">
        <w:rPr>
          <w:i/>
        </w:rPr>
        <w:t>.</w:t>
      </w:r>
      <w:r w:rsidR="00B01A7D" w:rsidRPr="00D96ED2">
        <w:rPr>
          <w:i/>
        </w:rPr>
        <w:t xml:space="preserve"> dakotaensis</w:t>
      </w:r>
      <w:r w:rsidR="00B01A7D" w:rsidRPr="00D96ED2">
        <w:t>) detected in North Dakota</w:t>
      </w:r>
      <w:r w:rsidR="00C72ED2" w:rsidRPr="00D96ED2">
        <w:t xml:space="preserve"> and also to develop a real-time PCR assay to detect and quantify this new species directly in DNA extracts from field soil</w:t>
      </w:r>
      <w:r w:rsidR="00B01A7D" w:rsidRPr="00D96ED2">
        <w:t xml:space="preserve">. </w:t>
      </w:r>
    </w:p>
    <w:p w14:paraId="6282C2BE" w14:textId="4177D1B5" w:rsidR="006207F5" w:rsidRPr="00D96ED2" w:rsidRDefault="00C72ED2" w:rsidP="00D45D9F">
      <w:r w:rsidRPr="00D96ED2">
        <w:t xml:space="preserve">      </w:t>
      </w:r>
      <w:r w:rsidR="00B07363" w:rsidRPr="00D96ED2">
        <w:t>To achieve th</w:t>
      </w:r>
      <w:r w:rsidRPr="00D96ED2">
        <w:t>e</w:t>
      </w:r>
      <w:r w:rsidR="00B07363" w:rsidRPr="00D96ED2">
        <w:t xml:space="preserve"> objective</w:t>
      </w:r>
      <w:r w:rsidRPr="00D96ED2">
        <w:t>s</w:t>
      </w:r>
      <w:r w:rsidR="00B07363" w:rsidRPr="00D96ED2">
        <w:t xml:space="preserve">, soil samples were collected from the Richland County soybean field in which </w:t>
      </w:r>
      <w:r w:rsidR="00B07363" w:rsidRPr="00D96ED2">
        <w:rPr>
          <w:i/>
        </w:rPr>
        <w:t>P. dakotaensis</w:t>
      </w:r>
      <w:r w:rsidR="00B07363" w:rsidRPr="00D96ED2">
        <w:t xml:space="preserve"> was discovered. Soil samples were then thoroughly mixed together into a composite sample to ensure even distribution of nematode</w:t>
      </w:r>
      <w:r w:rsidR="00F26700">
        <w:t>s</w:t>
      </w:r>
      <w:r w:rsidR="00B07363" w:rsidRPr="00D96ED2">
        <w:t xml:space="preserve">. Nematodes were then extracted from three subsamples to determine the initial population density. </w:t>
      </w:r>
      <w:r w:rsidRPr="00D96ED2">
        <w:t>T</w:t>
      </w:r>
      <w:r w:rsidR="00B07363" w:rsidRPr="00D96ED2">
        <w:t>en cultivars</w:t>
      </w:r>
      <w:r w:rsidRPr="00D96ED2">
        <w:t xml:space="preserve"> used in the region were </w:t>
      </w:r>
      <w:r w:rsidR="00B07363" w:rsidRPr="00D96ED2">
        <w:t xml:space="preserve">selected for resistance </w:t>
      </w:r>
      <w:r w:rsidRPr="00D96ED2">
        <w:t>test</w:t>
      </w:r>
      <w:r w:rsidR="00F26700">
        <w:t>s</w:t>
      </w:r>
      <w:r w:rsidRPr="00D96ED2">
        <w:t>,</w:t>
      </w:r>
      <w:r w:rsidR="00B07363" w:rsidRPr="00D96ED2">
        <w:t xml:space="preserve"> </w:t>
      </w:r>
      <w:r w:rsidRPr="00D96ED2">
        <w:t xml:space="preserve">including </w:t>
      </w:r>
      <w:r w:rsidR="00B07363" w:rsidRPr="00D96ED2">
        <w:t>0916R2</w:t>
      </w:r>
      <w:r w:rsidRPr="00D96ED2">
        <w:t>X</w:t>
      </w:r>
      <w:r w:rsidR="00B07363" w:rsidRPr="00D96ED2">
        <w:t xml:space="preserve">, 50-90, </w:t>
      </w:r>
      <w:r w:rsidR="00374216" w:rsidRPr="00D96ED2">
        <w:t xml:space="preserve">50948N, H06X7, </w:t>
      </w:r>
      <w:r w:rsidR="004C1495" w:rsidRPr="00D96ED2">
        <w:t>LS-1138NRR2X, ND Benson, ND Stutsman, NS 1492NR2,</w:t>
      </w:r>
      <w:r w:rsidRPr="00D96ED2">
        <w:t xml:space="preserve"> </w:t>
      </w:r>
      <w:r w:rsidR="004C1495" w:rsidRPr="00D96ED2">
        <w:t>NS 6162</w:t>
      </w:r>
      <w:r w:rsidRPr="00D96ED2">
        <w:t>4</w:t>
      </w:r>
      <w:r w:rsidR="004C1495" w:rsidRPr="00D96ED2">
        <w:t>NXR2</w:t>
      </w:r>
      <w:r w:rsidRPr="00D96ED2">
        <w:t xml:space="preserve">, and </w:t>
      </w:r>
      <w:r w:rsidR="005848F6" w:rsidRPr="00D96ED2">
        <w:rPr>
          <w:rFonts w:eastAsia="Times New Roman"/>
        </w:rPr>
        <w:t>SB-8807N</w:t>
      </w:r>
      <w:r w:rsidR="006B607F" w:rsidRPr="00D96ED2">
        <w:rPr>
          <w:rFonts w:eastAsia="Times New Roman"/>
        </w:rPr>
        <w:t xml:space="preserve"> (Table 1)</w:t>
      </w:r>
      <w:r w:rsidR="004C1495" w:rsidRPr="00D96ED2">
        <w:t>. Additionally, the local cultivar Barnes was used as a positive control and an unplanted control was used as a negative control. Moreover</w:t>
      </w:r>
      <w:r w:rsidR="006207F5" w:rsidRPr="00D96ED2">
        <w:t>,</w:t>
      </w:r>
      <w:r w:rsidR="004C1495" w:rsidRPr="00D96ED2">
        <w:t xml:space="preserve"> the cultivar NS 1911NR2 was used as a susceptible check</w:t>
      </w:r>
      <w:r w:rsidR="006B607F" w:rsidRPr="00D96ED2">
        <w:t xml:space="preserve"> as it </w:t>
      </w:r>
      <w:r w:rsidR="004C1495" w:rsidRPr="00D96ED2">
        <w:t xml:space="preserve">was found to be the most susceptible cultivar </w:t>
      </w:r>
      <w:r w:rsidR="006207F5" w:rsidRPr="00D96ED2">
        <w:t xml:space="preserve">in all trials of </w:t>
      </w:r>
      <w:r w:rsidR="006B607F" w:rsidRPr="00D96ED2">
        <w:t xml:space="preserve">our </w:t>
      </w:r>
      <w:r w:rsidR="006207F5" w:rsidRPr="00D96ED2">
        <w:t>previous experiments</w:t>
      </w:r>
      <w:r w:rsidR="006B607F" w:rsidRPr="00D96ED2">
        <w:t xml:space="preserve">. </w:t>
      </w:r>
      <w:r w:rsidR="006207F5" w:rsidRPr="00D96ED2">
        <w:t xml:space="preserve"> </w:t>
      </w:r>
    </w:p>
    <w:p w14:paraId="4D75F09A" w14:textId="77777777" w:rsidR="00B07363" w:rsidRPr="00D96ED2" w:rsidRDefault="0055597C" w:rsidP="00D45D9F">
      <w:r w:rsidRPr="00D96ED2">
        <w:t xml:space="preserve">      In </w:t>
      </w:r>
      <w:r w:rsidR="006207F5" w:rsidRPr="00D96ED2">
        <w:t xml:space="preserve">this study during experiment setup, seeds from each of the </w:t>
      </w:r>
      <w:r w:rsidRPr="00D96ED2">
        <w:t xml:space="preserve">cultivars </w:t>
      </w:r>
      <w:r w:rsidR="006207F5" w:rsidRPr="00D96ED2">
        <w:t>were pre-germinated in a petri dish for 4 to 5 days.</w:t>
      </w:r>
      <w:r w:rsidR="001C363E" w:rsidRPr="00D96ED2">
        <w:t xml:space="preserve"> </w:t>
      </w:r>
      <w:r w:rsidRPr="00D96ED2">
        <w:t xml:space="preserve">Two </w:t>
      </w:r>
      <w:r w:rsidR="009E2FD5" w:rsidRPr="00D96ED2">
        <w:t xml:space="preserve">trials </w:t>
      </w:r>
      <w:r w:rsidRPr="00D96ED2">
        <w:t xml:space="preserve">were conducted. </w:t>
      </w:r>
      <w:r w:rsidR="001C363E" w:rsidRPr="00D96ED2">
        <w:t>For trial 1,</w:t>
      </w:r>
      <w:r w:rsidR="006207F5" w:rsidRPr="00D96ED2">
        <w:t xml:space="preserve"> </w:t>
      </w:r>
      <w:r w:rsidR="001C363E" w:rsidRPr="00D96ED2">
        <w:t>t</w:t>
      </w:r>
      <w:r w:rsidR="006207F5" w:rsidRPr="00D96ED2">
        <w:t>he pre-germinated seeds were planted in large cone-type containers c</w:t>
      </w:r>
      <w:r w:rsidR="001C363E" w:rsidRPr="00D96ED2">
        <w:t>ontaining</w:t>
      </w:r>
      <w:r w:rsidR="006207F5" w:rsidRPr="00D96ED2">
        <w:t xml:space="preserve"> soil (</w:t>
      </w:r>
      <w:r w:rsidRPr="00D96ED2">
        <w:t xml:space="preserve">≈ </w:t>
      </w:r>
      <w:r w:rsidR="006207F5" w:rsidRPr="00D96ED2">
        <w:t xml:space="preserve">500g of soil) naturally infested with </w:t>
      </w:r>
      <w:r w:rsidR="008E0F5E" w:rsidRPr="00D96ED2">
        <w:rPr>
          <w:i/>
        </w:rPr>
        <w:t>P. dakotaensis</w:t>
      </w:r>
      <w:r w:rsidR="006207F5" w:rsidRPr="00D96ED2">
        <w:t xml:space="preserve">. Each cultivar was planted </w:t>
      </w:r>
      <w:r w:rsidR="001C363E" w:rsidRPr="00D96ED2">
        <w:t>in</w:t>
      </w:r>
      <w:r w:rsidR="006207F5" w:rsidRPr="00D96ED2">
        <w:t xml:space="preserve"> five replicates. The </w:t>
      </w:r>
      <w:r w:rsidR="008E0F5E" w:rsidRPr="00D96ED2">
        <w:t>p</w:t>
      </w:r>
      <w:r w:rsidR="006207F5" w:rsidRPr="00D96ED2">
        <w:t xml:space="preserve">lants were then grown in </w:t>
      </w:r>
      <w:r w:rsidR="008E0F5E" w:rsidRPr="00D96ED2">
        <w:t>a greenhouse room</w:t>
      </w:r>
      <w:r w:rsidR="006207F5" w:rsidRPr="00D96ED2">
        <w:t xml:space="preserve"> for 15 weeks at 22 °C</w:t>
      </w:r>
      <w:r w:rsidR="008E0F5E" w:rsidRPr="00D96ED2">
        <w:t xml:space="preserve"> and a photoperiod of 16</w:t>
      </w:r>
      <w:r w:rsidR="002960B1" w:rsidRPr="00D96ED2">
        <w:t xml:space="preserve"> </w:t>
      </w:r>
      <w:r w:rsidR="008E0F5E" w:rsidRPr="00D96ED2">
        <w:t>hours</w:t>
      </w:r>
      <w:r w:rsidR="001C363E" w:rsidRPr="00D96ED2">
        <w:t xml:space="preserve">. To confirm </w:t>
      </w:r>
      <w:r w:rsidR="002960B1" w:rsidRPr="00D96ED2">
        <w:t xml:space="preserve">the </w:t>
      </w:r>
      <w:r w:rsidR="001C363E" w:rsidRPr="00D96ED2">
        <w:t>results, the experiment was also repeated. For trial 2, the pre-germinated seeds were planted in small cone-type containers containing soil (</w:t>
      </w:r>
      <w:r w:rsidR="002960B1" w:rsidRPr="00D96ED2">
        <w:t xml:space="preserve">≈ </w:t>
      </w:r>
      <w:r w:rsidR="001C363E" w:rsidRPr="00D96ED2">
        <w:t xml:space="preserve">170g of soil) naturally infested </w:t>
      </w:r>
      <w:r w:rsidR="002960B1" w:rsidRPr="00D96ED2">
        <w:t xml:space="preserve">with </w:t>
      </w:r>
      <w:r w:rsidR="008E0F5E" w:rsidRPr="00D96ED2">
        <w:rPr>
          <w:i/>
        </w:rPr>
        <w:t>P. dakotaensis</w:t>
      </w:r>
      <w:r w:rsidR="001C363E" w:rsidRPr="00D96ED2">
        <w:t xml:space="preserve">. </w:t>
      </w:r>
      <w:r w:rsidR="008E0F5E" w:rsidRPr="00D96ED2">
        <w:t>Similar to trial 1 f</w:t>
      </w:r>
      <w:r w:rsidR="001C363E" w:rsidRPr="00D96ED2">
        <w:t xml:space="preserve">ive replicates of each cultivar </w:t>
      </w:r>
      <w:r w:rsidR="002960B1" w:rsidRPr="00D96ED2">
        <w:t>were</w:t>
      </w:r>
      <w:r w:rsidR="008E0F5E" w:rsidRPr="00D96ED2">
        <w:t xml:space="preserve"> also planted for trial 2 and the plants were </w:t>
      </w:r>
      <w:r w:rsidR="008E0F5E" w:rsidRPr="00D96ED2">
        <w:lastRenderedPageBreak/>
        <w:t xml:space="preserve">incubated in a greenhouse room </w:t>
      </w:r>
      <w:r w:rsidR="002960B1" w:rsidRPr="00D96ED2">
        <w:t>at the same greenhouse conditions</w:t>
      </w:r>
      <w:r w:rsidR="008E0F5E" w:rsidRPr="00D96ED2">
        <w:t xml:space="preserve">. </w:t>
      </w:r>
      <w:r w:rsidR="002960B1" w:rsidRPr="00D96ED2">
        <w:t>T</w:t>
      </w:r>
      <w:r w:rsidR="008E0F5E" w:rsidRPr="00D96ED2">
        <w:t>rial 2 was harvested at nine weeks after planting</w:t>
      </w:r>
      <w:r w:rsidR="002960B1" w:rsidRPr="00D96ED2">
        <w:t xml:space="preserve"> as our </w:t>
      </w:r>
      <w:r w:rsidR="00A05EC1" w:rsidRPr="00D96ED2">
        <w:t xml:space="preserve">previous greenhouse studies </w:t>
      </w:r>
      <w:r w:rsidR="002960B1" w:rsidRPr="00D96ED2">
        <w:t>demonstrated</w:t>
      </w:r>
      <w:r w:rsidR="00A05EC1" w:rsidRPr="00D96ED2">
        <w:t xml:space="preserve"> that resistance rating did not vary significantly at nine weeks </w:t>
      </w:r>
      <w:r w:rsidR="002960B1" w:rsidRPr="00D96ED2">
        <w:t xml:space="preserve">with small containers </w:t>
      </w:r>
      <w:r w:rsidR="00A05EC1" w:rsidRPr="00D96ED2">
        <w:t>compared to 15 weeks</w:t>
      </w:r>
      <w:r w:rsidR="002960B1" w:rsidRPr="00D96ED2">
        <w:t xml:space="preserve"> with large containers</w:t>
      </w:r>
      <w:r w:rsidR="00A05EC1" w:rsidRPr="00D96ED2">
        <w:t xml:space="preserve">. </w:t>
      </w:r>
      <w:r w:rsidR="008E0F5E" w:rsidRPr="00D96ED2">
        <w:t xml:space="preserve">   </w:t>
      </w:r>
    </w:p>
    <w:p w14:paraId="409C2E45" w14:textId="77777777" w:rsidR="00865ED2" w:rsidRPr="00D96ED2" w:rsidRDefault="00865ED2" w:rsidP="00D45D9F">
      <w:r w:rsidRPr="00D96ED2">
        <w:t xml:space="preserve">      </w:t>
      </w:r>
      <w:r w:rsidR="00B07363" w:rsidRPr="00D96ED2">
        <w:t>During harvest, the above-soil part of each plant was cut off, and soil and roots were collected</w:t>
      </w:r>
      <w:r w:rsidR="00811BDB" w:rsidRPr="00D96ED2">
        <w:t xml:space="preserve"> for </w:t>
      </w:r>
      <w:r w:rsidR="00B07363" w:rsidRPr="00D96ED2">
        <w:t xml:space="preserve">nematode extraction. </w:t>
      </w:r>
      <w:r w:rsidR="00811BDB" w:rsidRPr="00D96ED2">
        <w:t>T</w:t>
      </w:r>
      <w:r w:rsidR="00B07363" w:rsidRPr="00D96ED2">
        <w:t xml:space="preserve">he </w:t>
      </w:r>
      <w:r w:rsidR="00811BDB" w:rsidRPr="00D96ED2">
        <w:t xml:space="preserve">plant </w:t>
      </w:r>
      <w:r w:rsidR="00B07363" w:rsidRPr="00D96ED2">
        <w:t>roots were cut into 1 to 2 cm pieces and mixed thoroughly with the soil; nematodes were then extracted</w:t>
      </w:r>
      <w:r w:rsidR="00FE11F7" w:rsidRPr="00D96ED2">
        <w:t xml:space="preserve"> from</w:t>
      </w:r>
      <w:r w:rsidR="00B07363" w:rsidRPr="00D96ED2">
        <w:t xml:space="preserve"> </w:t>
      </w:r>
      <w:r w:rsidR="00811BDB" w:rsidRPr="00D96ED2">
        <w:t>both</w:t>
      </w:r>
      <w:r w:rsidR="00B07363" w:rsidRPr="00D96ED2">
        <w:t xml:space="preserve"> roots </w:t>
      </w:r>
      <w:r w:rsidR="00A05EC1" w:rsidRPr="00D96ED2">
        <w:t>and</w:t>
      </w:r>
      <w:r w:rsidR="00B07363" w:rsidRPr="00D96ED2">
        <w:t xml:space="preserve"> soil</w:t>
      </w:r>
      <w:r w:rsidR="00A05EC1" w:rsidRPr="00D96ED2">
        <w:t xml:space="preserve"> </w:t>
      </w:r>
      <w:r w:rsidR="00B07363" w:rsidRPr="00D96ED2">
        <w:t xml:space="preserve">using the Whitehead tray </w:t>
      </w:r>
      <w:r w:rsidR="00FE11F7" w:rsidRPr="00D96ED2">
        <w:t xml:space="preserve">nematode extraction </w:t>
      </w:r>
      <w:r w:rsidR="00B07363" w:rsidRPr="00D96ED2">
        <w:t>method.</w:t>
      </w:r>
      <w:r w:rsidR="00FE11F7" w:rsidRPr="00D96ED2">
        <w:t xml:space="preserve"> The extracted nematodes were then accumulated in a 20-µm-aperture sieve and collected in a nematode suspension vial. </w:t>
      </w:r>
      <w:r w:rsidR="00811BDB" w:rsidRPr="00D96ED2">
        <w:t>R</w:t>
      </w:r>
      <w:r w:rsidR="00FE11F7" w:rsidRPr="00D96ED2">
        <w:t>oot-lesion nematodes were identified and quantified based on their morphological feature under a microscope. The postharvest densities of root-lesion nematodes were then averaged across the five replicates of each cultivar</w:t>
      </w:r>
      <w:r w:rsidR="00811BDB" w:rsidRPr="00D96ED2">
        <w:t xml:space="preserve"> and </w:t>
      </w:r>
      <w:r w:rsidR="00FE11F7" w:rsidRPr="00D96ED2">
        <w:t xml:space="preserve">tallied as the total number of individuals per kg of soil and roots. The average reproductive factor was determined by dividing the average postharvest population density by the initial population density (Table </w:t>
      </w:r>
      <w:r w:rsidR="00FB7372" w:rsidRPr="00D96ED2">
        <w:t>1</w:t>
      </w:r>
      <w:r w:rsidR="00FE11F7" w:rsidRPr="00D96ED2">
        <w:t>).</w:t>
      </w:r>
    </w:p>
    <w:p w14:paraId="42A7DD3D" w14:textId="77777777" w:rsidR="0036523A" w:rsidRPr="00D96ED2" w:rsidRDefault="00865ED2" w:rsidP="00D45D9F">
      <w:r w:rsidRPr="00D96ED2">
        <w:t xml:space="preserve">      </w:t>
      </w:r>
      <w:r w:rsidR="00A05EC1" w:rsidRPr="00D96ED2">
        <w:t>Resistance ratings were scaled on the basis of</w:t>
      </w:r>
      <w:r w:rsidR="00FE11F7" w:rsidRPr="00D96ED2">
        <w:t xml:space="preserve"> average</w:t>
      </w:r>
      <w:r w:rsidR="00A05EC1" w:rsidRPr="00D96ED2">
        <w:t xml:space="preserve"> postharvest population density of </w:t>
      </w:r>
      <w:r w:rsidR="00A05EC1" w:rsidRPr="00D96ED2">
        <w:rPr>
          <w:i/>
        </w:rPr>
        <w:t>P. dakotaensis</w:t>
      </w:r>
      <w:r w:rsidR="00A05EC1" w:rsidRPr="00D96ED2">
        <w:t xml:space="preserve"> in a test line relative to the average postharvest population density in the susceptible check (</w:t>
      </w:r>
      <w:r w:rsidR="00FE11F7" w:rsidRPr="00D96ED2">
        <w:t>NS 1911NR2</w:t>
      </w:r>
      <w:r w:rsidR="00A05EC1" w:rsidRPr="00D96ED2">
        <w:t xml:space="preserve">). </w:t>
      </w:r>
      <w:r w:rsidR="001332AF" w:rsidRPr="00D96ED2">
        <w:t>R</w:t>
      </w:r>
      <w:r w:rsidR="00A05EC1" w:rsidRPr="00D96ED2">
        <w:t xml:space="preserve">atio of the postharvest population density in the test line relative to the susceptible check was </w:t>
      </w:r>
      <w:r w:rsidR="001332AF" w:rsidRPr="00D96ED2">
        <w:t>calculated and</w:t>
      </w:r>
      <w:r w:rsidR="00A05EC1" w:rsidRPr="00D96ED2">
        <w:t xml:space="preserve"> expressed as a percentage </w:t>
      </w:r>
      <w:r w:rsidR="00FE11F7" w:rsidRPr="00D96ED2">
        <w:t xml:space="preserve">(Table </w:t>
      </w:r>
      <w:r w:rsidR="00FB7372" w:rsidRPr="00D96ED2">
        <w:t>2</w:t>
      </w:r>
      <w:r w:rsidR="00FE11F7" w:rsidRPr="00D96ED2">
        <w:t>)</w:t>
      </w:r>
      <w:r w:rsidR="00A05EC1" w:rsidRPr="00D96ED2">
        <w:t>. The host ranking for each cultivar was then categorized into four classes based on the ratio. The four resistance rating classes were resistant = R (average postharvest population density ≤ 25% of the susceptible check), moderately resistant = MR (26-50%), moderately susceptible = MS (51-75%), and susceptible = S (≥ 76%).</w:t>
      </w:r>
      <w:r w:rsidR="005E48A3" w:rsidRPr="00D96ED2">
        <w:t xml:space="preserve"> Results from both trials were also combined by averaging the </w:t>
      </w:r>
      <w:r w:rsidR="003438FD" w:rsidRPr="00D96ED2">
        <w:t>ratio</w:t>
      </w:r>
      <w:r w:rsidR="001332AF" w:rsidRPr="00D96ED2">
        <w:t>s</w:t>
      </w:r>
      <w:r w:rsidR="003438FD" w:rsidRPr="00D96ED2">
        <w:t xml:space="preserve"> of </w:t>
      </w:r>
      <w:r w:rsidR="005E48A3" w:rsidRPr="00D96ED2">
        <w:t>postharvest population densit</w:t>
      </w:r>
      <w:r w:rsidR="000113ED" w:rsidRPr="00D96ED2">
        <w:t>ies</w:t>
      </w:r>
      <w:r w:rsidR="005E48A3" w:rsidRPr="00D96ED2">
        <w:t xml:space="preserve"> across the two trials</w:t>
      </w:r>
      <w:r w:rsidR="00FB7372" w:rsidRPr="00D96ED2">
        <w:t xml:space="preserve"> (Fig</w:t>
      </w:r>
      <w:r w:rsidR="00625BB6">
        <w:t>ure</w:t>
      </w:r>
      <w:r w:rsidR="00FB7372" w:rsidRPr="00D96ED2">
        <w:t xml:space="preserve"> 1)</w:t>
      </w:r>
      <w:r w:rsidR="005E48A3" w:rsidRPr="00D96ED2">
        <w:t xml:space="preserve">. </w:t>
      </w:r>
    </w:p>
    <w:p w14:paraId="3CDF54A3" w14:textId="693FA9A0" w:rsidR="002E57D2" w:rsidRPr="00D96ED2" w:rsidRDefault="005A358C" w:rsidP="00D45D9F">
      <w:r w:rsidRPr="00D96ED2">
        <w:t xml:space="preserve">      </w:t>
      </w:r>
      <w:r w:rsidR="00153ECC" w:rsidRPr="00D96ED2">
        <w:t xml:space="preserve">To develop a quantitative real-time PCR (qPCR) assay </w:t>
      </w:r>
      <w:r w:rsidR="00E0548B">
        <w:t xml:space="preserve">for </w:t>
      </w:r>
      <w:r w:rsidR="00153ECC" w:rsidRPr="00D96ED2">
        <w:t>detect</w:t>
      </w:r>
      <w:r w:rsidR="00E0548B">
        <w:t>ing</w:t>
      </w:r>
      <w:r w:rsidR="00153ECC" w:rsidRPr="00D96ED2">
        <w:t xml:space="preserve"> and quantify</w:t>
      </w:r>
      <w:r w:rsidR="00E0548B">
        <w:t>ing</w:t>
      </w:r>
      <w:r w:rsidR="00153ECC" w:rsidRPr="00D96ED2">
        <w:t xml:space="preserve"> this new species in DNA extracts from field soil, </w:t>
      </w:r>
      <w:r w:rsidR="00153ECC" w:rsidRPr="00D96ED2">
        <w:rPr>
          <w:shd w:val="clear" w:color="auto" w:fill="FFFFFF"/>
        </w:rPr>
        <w:t>the primer pair (IC-ITS1F/IC-ITS1R) designed from our previous work was tested for its specificity using both nematode</w:t>
      </w:r>
      <w:r w:rsidR="00E0548B">
        <w:rPr>
          <w:shd w:val="clear" w:color="auto" w:fill="FFFFFF"/>
        </w:rPr>
        <w:t xml:space="preserve"> individual</w:t>
      </w:r>
      <w:r w:rsidR="00153ECC" w:rsidRPr="00D96ED2">
        <w:rPr>
          <w:shd w:val="clear" w:color="auto" w:fill="FFFFFF"/>
        </w:rPr>
        <w:t>s (</w:t>
      </w:r>
      <w:r w:rsidR="00153ECC" w:rsidRPr="00D96ED2">
        <w:rPr>
          <w:i/>
          <w:shd w:val="clear" w:color="auto" w:fill="FFFFFF"/>
        </w:rPr>
        <w:t xml:space="preserve">P. </w:t>
      </w:r>
      <w:proofErr w:type="spellStart"/>
      <w:r w:rsidR="00153ECC" w:rsidRPr="00D96ED2">
        <w:rPr>
          <w:i/>
          <w:shd w:val="clear" w:color="auto" w:fill="FFFFFF"/>
        </w:rPr>
        <w:t>scribneri</w:t>
      </w:r>
      <w:proofErr w:type="spellEnd"/>
      <w:r w:rsidR="00153ECC" w:rsidRPr="00D96ED2">
        <w:rPr>
          <w:i/>
          <w:shd w:val="clear" w:color="auto" w:fill="FFFFFF"/>
        </w:rPr>
        <w:t xml:space="preserve">, P. </w:t>
      </w:r>
      <w:proofErr w:type="spellStart"/>
      <w:r w:rsidR="00153ECC" w:rsidRPr="00D96ED2">
        <w:rPr>
          <w:i/>
          <w:shd w:val="clear" w:color="auto" w:fill="FFFFFF"/>
        </w:rPr>
        <w:t>neglectus</w:t>
      </w:r>
      <w:proofErr w:type="spellEnd"/>
      <w:r w:rsidR="00153ECC" w:rsidRPr="00D96ED2">
        <w:rPr>
          <w:i/>
          <w:shd w:val="clear" w:color="auto" w:fill="FFFFFF"/>
        </w:rPr>
        <w:t xml:space="preserve"> and P. </w:t>
      </w:r>
      <w:proofErr w:type="spellStart"/>
      <w:r w:rsidR="00153ECC" w:rsidRPr="00D96ED2">
        <w:rPr>
          <w:i/>
          <w:shd w:val="clear" w:color="auto" w:fill="FFFFFF"/>
        </w:rPr>
        <w:t>penetrans</w:t>
      </w:r>
      <w:proofErr w:type="spellEnd"/>
      <w:r w:rsidR="00153ECC" w:rsidRPr="00D96ED2">
        <w:rPr>
          <w:shd w:val="clear" w:color="auto" w:fill="FFFFFF"/>
        </w:rPr>
        <w:t xml:space="preserve">) and soil DNA extracts </w:t>
      </w:r>
      <w:r w:rsidR="005608AB" w:rsidRPr="00D96ED2">
        <w:rPr>
          <w:shd w:val="clear" w:color="auto" w:fill="FFFFFF"/>
        </w:rPr>
        <w:t>(</w:t>
      </w:r>
      <w:r w:rsidR="00153ECC" w:rsidRPr="00D96ED2">
        <w:rPr>
          <w:shd w:val="clear" w:color="auto" w:fill="FFFFFF"/>
        </w:rPr>
        <w:t>seven field soil samples</w:t>
      </w:r>
      <w:r w:rsidR="005608AB" w:rsidRPr="00D96ED2">
        <w:rPr>
          <w:shd w:val="clear" w:color="auto" w:fill="FFFFFF"/>
        </w:rPr>
        <w:t>)</w:t>
      </w:r>
      <w:r w:rsidR="00153ECC" w:rsidRPr="00D96ED2">
        <w:rPr>
          <w:shd w:val="clear" w:color="auto" w:fill="FFFFFF"/>
        </w:rPr>
        <w:t xml:space="preserve">. </w:t>
      </w:r>
      <w:r w:rsidR="005608AB" w:rsidRPr="00D96ED2">
        <w:t xml:space="preserve">A two-fold serial dilution using DNA extract from a single nematode was prepared to determine the detection sensitivity. Varying number of </w:t>
      </w:r>
      <w:r w:rsidR="005608AB" w:rsidRPr="00D96ED2">
        <w:rPr>
          <w:i/>
        </w:rPr>
        <w:t>P. dakotaensis</w:t>
      </w:r>
      <w:r w:rsidR="005608AB" w:rsidRPr="00D96ED2">
        <w:t xml:space="preserve"> (1, 4, 16, 64, and 256) were picked and added to 0.5 g of autoclaved soil. DNA extraction was done in triplicate for each level of infestation using the Qiagen </w:t>
      </w:r>
      <w:proofErr w:type="spellStart"/>
      <w:r w:rsidR="005608AB" w:rsidRPr="00D96ED2">
        <w:t>DNeasy</w:t>
      </w:r>
      <w:proofErr w:type="spellEnd"/>
      <w:r w:rsidR="005608AB" w:rsidRPr="00D96ED2">
        <w:t xml:space="preserve"> </w:t>
      </w:r>
      <w:proofErr w:type="spellStart"/>
      <w:r w:rsidR="005608AB" w:rsidRPr="00D96ED2">
        <w:t>PowerSoil</w:t>
      </w:r>
      <w:proofErr w:type="spellEnd"/>
      <w:r w:rsidR="005608AB" w:rsidRPr="00D96ED2">
        <w:t xml:space="preserve"> Kit and qPCR reaction w</w:t>
      </w:r>
      <w:r w:rsidR="007379D1" w:rsidRPr="00D96ED2">
        <w:t>as</w:t>
      </w:r>
      <w:r w:rsidR="005608AB" w:rsidRPr="00D96ED2">
        <w:t xml:space="preserve"> performed in triplicate</w:t>
      </w:r>
      <w:r w:rsidR="007379D1" w:rsidRPr="00D96ED2">
        <w:t xml:space="preserve"> for each of the DNA extracts </w:t>
      </w:r>
      <w:r w:rsidR="005608AB" w:rsidRPr="00D96ED2">
        <w:t xml:space="preserve">to </w:t>
      </w:r>
      <w:r w:rsidR="007379D1" w:rsidRPr="00D96ED2">
        <w:t>generate the standard curve</w:t>
      </w:r>
      <w:r w:rsidR="005608AB" w:rsidRPr="00D96ED2">
        <w:t xml:space="preserve">. </w:t>
      </w:r>
      <w:r w:rsidR="004C6168" w:rsidRPr="00D96ED2">
        <w:rPr>
          <w:shd w:val="clear" w:color="auto" w:fill="FFFFFF"/>
        </w:rPr>
        <w:t xml:space="preserve">Melting curve analysis was done to monitor the specificity of the </w:t>
      </w:r>
      <w:r w:rsidR="00F26700">
        <w:rPr>
          <w:shd w:val="clear" w:color="auto" w:fill="FFFFFF"/>
        </w:rPr>
        <w:t>assay</w:t>
      </w:r>
      <w:r w:rsidR="004C6168" w:rsidRPr="00D96ED2">
        <w:rPr>
          <w:shd w:val="clear" w:color="auto" w:fill="FFFFFF"/>
        </w:rPr>
        <w:t xml:space="preserve">. </w:t>
      </w:r>
      <w:r w:rsidR="004C6168" w:rsidRPr="00D96ED2">
        <w:t>A total of 15 soil samples were collected from a soybean field in Richland County</w:t>
      </w:r>
      <w:r w:rsidRPr="00D96ED2">
        <w:t>.</w:t>
      </w:r>
      <w:r w:rsidR="004C6168" w:rsidRPr="00D96ED2">
        <w:t xml:space="preserve"> </w:t>
      </w:r>
      <w:r w:rsidRPr="00D96ED2">
        <w:t>N</w:t>
      </w:r>
      <w:r w:rsidR="004C6168" w:rsidRPr="00D96ED2">
        <w:t xml:space="preserve">ematodes were manually extracted from 200 g </w:t>
      </w:r>
      <w:r w:rsidRPr="00D96ED2">
        <w:t xml:space="preserve">of </w:t>
      </w:r>
      <w:r w:rsidR="004C6168" w:rsidRPr="00D96ED2">
        <w:t xml:space="preserve">soil using sugar centrifugation </w:t>
      </w:r>
      <w:r w:rsidRPr="00D96ED2">
        <w:t xml:space="preserve">method </w:t>
      </w:r>
      <w:r w:rsidR="004C6168" w:rsidRPr="00D96ED2">
        <w:t xml:space="preserve">and counted twice under </w:t>
      </w:r>
      <w:r w:rsidRPr="00D96ED2">
        <w:t xml:space="preserve">a </w:t>
      </w:r>
      <w:r w:rsidR="004C6168" w:rsidRPr="00D96ED2">
        <w:t>microscope.</w:t>
      </w:r>
      <w:r w:rsidR="004C6168" w:rsidRPr="00D96ED2">
        <w:rPr>
          <w:shd w:val="clear" w:color="auto" w:fill="FFFFFF"/>
        </w:rPr>
        <w:t xml:space="preserve"> </w:t>
      </w:r>
      <w:r w:rsidRPr="00D96ED2">
        <w:rPr>
          <w:lang w:eastAsia="zh-CN"/>
        </w:rPr>
        <w:t xml:space="preserve">DNA was extracted directly from each soil sample and </w:t>
      </w:r>
      <w:r w:rsidRPr="00D96ED2">
        <w:t>assayed by the qPCR and standard curve. Correlation analysis was conducted to determine the relationship between the nematode numbers determined by the qPCR assay and by the traditional microscopic method.</w:t>
      </w:r>
    </w:p>
    <w:p w14:paraId="5EBEC522" w14:textId="0CC9BBCE" w:rsidR="00451AE4" w:rsidRPr="00D96ED2" w:rsidRDefault="00865ED2">
      <w:r w:rsidRPr="00D96ED2">
        <w:t xml:space="preserve">      </w:t>
      </w:r>
      <w:r w:rsidR="00FE11F7" w:rsidRPr="00D96ED2">
        <w:t>The r</w:t>
      </w:r>
      <w:r w:rsidR="00760C71" w:rsidRPr="00D96ED2">
        <w:t>esistance rating results from the first and second trial</w:t>
      </w:r>
      <w:r w:rsidR="009E2FD5" w:rsidRPr="00D96ED2">
        <w:t>s</w:t>
      </w:r>
      <w:r w:rsidR="00760C71" w:rsidRPr="00D96ED2">
        <w:t xml:space="preserve"> were similar. However, the average postharvest population densit</w:t>
      </w:r>
      <w:r w:rsidR="009E2FD5" w:rsidRPr="00D96ED2">
        <w:t>ies</w:t>
      </w:r>
      <w:r w:rsidR="00760C71" w:rsidRPr="00D96ED2">
        <w:t xml:space="preserve"> and reproductive factor</w:t>
      </w:r>
      <w:r w:rsidR="009E2FD5" w:rsidRPr="00D96ED2">
        <w:t>s</w:t>
      </w:r>
      <w:r w:rsidR="00760C71" w:rsidRPr="00D96ED2">
        <w:t xml:space="preserve"> varied between the two</w:t>
      </w:r>
      <w:r w:rsidR="00490690" w:rsidRPr="00D96ED2">
        <w:t xml:space="preserve"> trials</w:t>
      </w:r>
      <w:r w:rsidR="00760C71" w:rsidRPr="00D96ED2">
        <w:t>. In trial</w:t>
      </w:r>
      <w:r w:rsidR="00490690" w:rsidRPr="00D96ED2">
        <w:t xml:space="preserve"> 1</w:t>
      </w:r>
      <w:r w:rsidR="00E57446" w:rsidRPr="00D96ED2">
        <w:t>,</w:t>
      </w:r>
      <w:r w:rsidR="00760C71" w:rsidRPr="00D96ED2">
        <w:t xml:space="preserve"> the average postharvest population density </w:t>
      </w:r>
      <w:r w:rsidR="00B12CED" w:rsidRPr="00D96ED2">
        <w:t xml:space="preserve">and reproductive factor values </w:t>
      </w:r>
      <w:r w:rsidR="00760C71" w:rsidRPr="00D96ED2">
        <w:t xml:space="preserve">of </w:t>
      </w:r>
      <w:r w:rsidR="00760C71" w:rsidRPr="00D96ED2">
        <w:rPr>
          <w:i/>
        </w:rPr>
        <w:t xml:space="preserve">P. </w:t>
      </w:r>
      <w:r w:rsidR="00760C71" w:rsidRPr="00D96ED2">
        <w:rPr>
          <w:i/>
        </w:rPr>
        <w:lastRenderedPageBreak/>
        <w:t>dakotaensis</w:t>
      </w:r>
      <w:r w:rsidR="003438FD" w:rsidRPr="00D96ED2">
        <w:t xml:space="preserve"> ranged from 3,236 (cultivar name: 50-90) to 6,930</w:t>
      </w:r>
      <w:r w:rsidR="00325AEA" w:rsidRPr="00D96ED2">
        <w:t xml:space="preserve"> (NS 61624NXR2)</w:t>
      </w:r>
      <w:r w:rsidR="003438FD" w:rsidRPr="00D96ED2">
        <w:t xml:space="preserve"> nematodes per kg of soil </w:t>
      </w:r>
      <w:r w:rsidR="00325AEA" w:rsidRPr="00D96ED2">
        <w:t xml:space="preserve">and roots and </w:t>
      </w:r>
      <w:r w:rsidR="00490690" w:rsidRPr="00D96ED2">
        <w:t xml:space="preserve">from </w:t>
      </w:r>
      <w:r w:rsidR="00325AEA" w:rsidRPr="00D96ED2">
        <w:t>2.02 to 4.33, respectively</w:t>
      </w:r>
      <w:r w:rsidR="003438FD" w:rsidRPr="00D96ED2">
        <w:t xml:space="preserve">. In trial 2, </w:t>
      </w:r>
      <w:r w:rsidRPr="00D96ED2">
        <w:t xml:space="preserve">these two parameters </w:t>
      </w:r>
      <w:r w:rsidR="00325AEA" w:rsidRPr="00D96ED2">
        <w:t xml:space="preserve">ranged </w:t>
      </w:r>
      <w:r w:rsidR="003438FD" w:rsidRPr="00D96ED2">
        <w:t>from 1,482 (0916R2X) to 2,235</w:t>
      </w:r>
      <w:r w:rsidR="00325AEA" w:rsidRPr="00D96ED2">
        <w:t xml:space="preserve"> (NS 1911NR2)</w:t>
      </w:r>
      <w:r w:rsidR="003438FD" w:rsidRPr="00D96ED2">
        <w:t xml:space="preserve"> nematodes per kg of soil</w:t>
      </w:r>
      <w:r w:rsidR="00325AEA" w:rsidRPr="00D96ED2">
        <w:t xml:space="preserve"> and roots and </w:t>
      </w:r>
      <w:r w:rsidRPr="00D96ED2">
        <w:t xml:space="preserve">from </w:t>
      </w:r>
      <w:r w:rsidR="00325AEA" w:rsidRPr="00D96ED2">
        <w:t xml:space="preserve">1.35 to 2.03, respectively. The variation in </w:t>
      </w:r>
      <w:r w:rsidRPr="00D96ED2">
        <w:t xml:space="preserve">these two parameters </w:t>
      </w:r>
      <w:r w:rsidR="00325AEA" w:rsidRPr="00D96ED2">
        <w:t>c</w:t>
      </w:r>
      <w:r w:rsidRPr="00D96ED2">
        <w:t xml:space="preserve">ould </w:t>
      </w:r>
      <w:r w:rsidR="00325AEA" w:rsidRPr="00D96ED2">
        <w:t>be attributed to the difference in initial population densit</w:t>
      </w:r>
      <w:r w:rsidRPr="00D96ED2">
        <w:t>ies</w:t>
      </w:r>
      <w:r w:rsidR="00325AEA" w:rsidRPr="00D96ED2">
        <w:t xml:space="preserve"> between the two trials. The initial population density for trial 1 was 1,600 nematodes per kg of soil, whereas for trial 2</w:t>
      </w:r>
      <w:r w:rsidRPr="00D96ED2">
        <w:t xml:space="preserve"> it </w:t>
      </w:r>
      <w:r w:rsidR="00325AEA" w:rsidRPr="00D96ED2">
        <w:t xml:space="preserve">was 1,100 nematodes per kg of soil. </w:t>
      </w:r>
      <w:r w:rsidRPr="00D96ED2">
        <w:t>Additionally</w:t>
      </w:r>
      <w:r w:rsidR="00325AEA" w:rsidRPr="00D96ED2">
        <w:t xml:space="preserve">, trial 2 was harvested earlier than trial 1. Thus, </w:t>
      </w:r>
      <w:r w:rsidR="00F26700">
        <w:t xml:space="preserve">as expected </w:t>
      </w:r>
      <w:r w:rsidR="00325AEA" w:rsidRPr="00D96ED2">
        <w:t>all of the cultivars in trial 2 had lower postharvest population densit</w:t>
      </w:r>
      <w:r w:rsidRPr="00D96ED2">
        <w:t>ies</w:t>
      </w:r>
      <w:r w:rsidR="00325AEA" w:rsidRPr="00D96ED2">
        <w:t xml:space="preserve"> and reproductive factor</w:t>
      </w:r>
      <w:r w:rsidRPr="00D96ED2">
        <w:t>s</w:t>
      </w:r>
      <w:r w:rsidR="00325AEA" w:rsidRPr="00D96ED2">
        <w:t xml:space="preserve"> compared to trial 1</w:t>
      </w:r>
      <w:r w:rsidRPr="00D96ED2">
        <w:t>.</w:t>
      </w:r>
      <w:r w:rsidR="00325AEA" w:rsidRPr="00D96ED2">
        <w:t xml:space="preserve"> </w:t>
      </w:r>
      <w:r w:rsidR="00E57446" w:rsidRPr="00D96ED2">
        <w:t>Nonetheless, similar trend was evident between the two trials. For example, cultivars that had higher reprod</w:t>
      </w:r>
      <w:r w:rsidRPr="00D96ED2">
        <w:t xml:space="preserve">uction </w:t>
      </w:r>
      <w:r w:rsidR="00E57446" w:rsidRPr="00D96ED2">
        <w:t xml:space="preserve">in trial 1 also had higher </w:t>
      </w:r>
      <w:r w:rsidRPr="00D96ED2">
        <w:t xml:space="preserve">reproduction </w:t>
      </w:r>
      <w:r w:rsidR="00E57446" w:rsidRPr="00D96ED2">
        <w:t xml:space="preserve">in trial 2. </w:t>
      </w:r>
    </w:p>
    <w:p w14:paraId="579D93F9" w14:textId="201E5820" w:rsidR="00F45F1A" w:rsidRPr="00D96ED2" w:rsidRDefault="00F45F1A" w:rsidP="00FF1446">
      <w:r w:rsidRPr="00D96ED2">
        <w:t xml:space="preserve">      All of the cultivars tested had the same resistance rating in both trials except one cultivar (50948N) having a resistance rating of moderately susceptible </w:t>
      </w:r>
      <w:r w:rsidR="00345FC2" w:rsidRPr="00D96ED2">
        <w:t xml:space="preserve">in trial 1 </w:t>
      </w:r>
      <w:r w:rsidR="00F26700">
        <w:t>but</w:t>
      </w:r>
      <w:r w:rsidRPr="00D96ED2">
        <w:t xml:space="preserve"> susceptible </w:t>
      </w:r>
      <w:r w:rsidR="00345FC2" w:rsidRPr="00D96ED2">
        <w:t xml:space="preserve">in </w:t>
      </w:r>
      <w:r w:rsidRPr="00D96ED2">
        <w:t>trial 2</w:t>
      </w:r>
      <w:r w:rsidR="00345FC2" w:rsidRPr="00D96ED2">
        <w:t xml:space="preserve"> (Table 2)</w:t>
      </w:r>
      <w:r w:rsidRPr="00D96ED2">
        <w:t>. However, it is important to note that, the ratio of postharvest population density for 50948N was only 7% higher in trial 2 than that in trial 1.</w:t>
      </w:r>
      <w:r w:rsidR="00345FC2" w:rsidRPr="00D96ED2">
        <w:t xml:space="preserve"> The resistance ratings of the cultivars tested varied from moderately susceptible to susceptible in both trials. Combined results of the two trials revealed that three cultivars including 0916R2X (ratio: 67%), 50-90 (68%), and 50948N (71%) were moderately susceptible and the remaining seven cultivars were all susceptible to </w:t>
      </w:r>
      <w:r w:rsidR="00345FC2" w:rsidRPr="00D96ED2">
        <w:rPr>
          <w:i/>
        </w:rPr>
        <w:t>P. dakotaensis</w:t>
      </w:r>
      <w:r w:rsidR="00345FC2" w:rsidRPr="00D96ED2">
        <w:t xml:space="preserve"> (Figure 1). These susceptible cultivars include H06X7 (84%), LS-1138NRR2X (81%), ND Benson (94%), ND Stutsman (88%), NS 1492NR2 (105%), NS 61624NXR2 (126%), and SB-8807N (90%). The positive control Barnes </w:t>
      </w:r>
      <w:r w:rsidR="00EB671F" w:rsidRPr="00D96ED2">
        <w:t>(</w:t>
      </w:r>
      <w:r w:rsidR="00345FC2" w:rsidRPr="00D96ED2">
        <w:t>86%</w:t>
      </w:r>
      <w:r w:rsidR="00EB671F" w:rsidRPr="00D96ED2">
        <w:t xml:space="preserve">) </w:t>
      </w:r>
      <w:r w:rsidR="00345FC2" w:rsidRPr="00D96ED2">
        <w:t>was rated as a susceptible cultivar</w:t>
      </w:r>
      <w:r w:rsidR="00EB671F" w:rsidRPr="00D96ED2">
        <w:t>.</w:t>
      </w:r>
      <w:r w:rsidR="00345FC2" w:rsidRPr="00D96ED2">
        <w:t xml:space="preserve"> None of the cultivars tested were resistant or moderately resistant. </w:t>
      </w:r>
    </w:p>
    <w:p w14:paraId="5342A381" w14:textId="3AB7B83E" w:rsidR="00895E1D" w:rsidRPr="00D96ED2" w:rsidRDefault="00F26700" w:rsidP="00FF1446">
      <w:r>
        <w:rPr>
          <w:shd w:val="clear" w:color="auto" w:fill="FFFFFF"/>
        </w:rPr>
        <w:t xml:space="preserve">      </w:t>
      </w:r>
      <w:r w:rsidR="007147D0" w:rsidRPr="00D96ED2">
        <w:rPr>
          <w:shd w:val="clear" w:color="auto" w:fill="FFFFFF"/>
        </w:rPr>
        <w:t xml:space="preserve">The qPCR assay </w:t>
      </w:r>
      <w:r w:rsidR="007147D0" w:rsidRPr="00D96ED2">
        <w:t xml:space="preserve">detected DNA only specific to </w:t>
      </w:r>
      <w:r w:rsidR="007147D0" w:rsidRPr="00D96ED2">
        <w:rPr>
          <w:i/>
        </w:rPr>
        <w:t xml:space="preserve">P. </w:t>
      </w:r>
      <w:proofErr w:type="spellStart"/>
      <w:r w:rsidR="007147D0" w:rsidRPr="00D96ED2">
        <w:rPr>
          <w:i/>
        </w:rPr>
        <w:t>dakotaensis</w:t>
      </w:r>
      <w:proofErr w:type="spellEnd"/>
      <w:r w:rsidR="007147D0" w:rsidRPr="00D96ED2">
        <w:t xml:space="preserve"> with </w:t>
      </w:r>
      <w:proofErr w:type="spellStart"/>
      <w:r w:rsidR="007147D0" w:rsidRPr="00D96ED2">
        <w:t>Cq</w:t>
      </w:r>
      <w:proofErr w:type="spellEnd"/>
      <w:r w:rsidR="007147D0" w:rsidRPr="00D96ED2">
        <w:t xml:space="preserve"> values ranging from 19.86 ± 0.10 to 29.48 ± 0.44. No fluorescent signals were detected from the non-target </w:t>
      </w:r>
      <w:r w:rsidR="007147D0" w:rsidRPr="00D96ED2">
        <w:rPr>
          <w:shd w:val="clear" w:color="auto" w:fill="FFFFFF"/>
        </w:rPr>
        <w:t>nematode species</w:t>
      </w:r>
      <w:r w:rsidR="00274F23" w:rsidRPr="00D96ED2">
        <w:rPr>
          <w:shd w:val="clear" w:color="auto" w:fill="FFFFFF"/>
        </w:rPr>
        <w:t xml:space="preserve"> and soil DNA extracts. </w:t>
      </w:r>
      <w:r w:rsidR="00274F23" w:rsidRPr="00D96ED2">
        <w:t xml:space="preserve">The qPCR assay could detect an equivalent of 1/32 of the DNA of a single nematode. </w:t>
      </w:r>
      <w:r w:rsidR="00274F23" w:rsidRPr="00D96ED2">
        <w:rPr>
          <w:shd w:val="clear" w:color="auto" w:fill="FFFFFF"/>
        </w:rPr>
        <w:t xml:space="preserve">Melting curve analysis showed </w:t>
      </w:r>
      <w:r w:rsidR="00274F23" w:rsidRPr="00D96ED2">
        <w:t>a single melting peak at 81.5</w:t>
      </w:r>
      <w:r w:rsidR="00274F23" w:rsidRPr="00D96ED2">
        <w:rPr>
          <w:vertAlign w:val="superscript"/>
        </w:rPr>
        <w:t>o</w:t>
      </w:r>
      <w:r w:rsidR="00274F23" w:rsidRPr="00D96ED2">
        <w:t xml:space="preserve"> C</w:t>
      </w:r>
      <w:r w:rsidR="00274F23" w:rsidRPr="00D96ED2">
        <w:rPr>
          <w:shd w:val="clear" w:color="auto" w:fill="FFFFFF"/>
        </w:rPr>
        <w:t xml:space="preserve"> (Figure 2A). </w:t>
      </w:r>
      <w:r w:rsidR="004D65A6" w:rsidRPr="00D96ED2">
        <w:t xml:space="preserve">A standard curve </w:t>
      </w:r>
      <w:r w:rsidR="001C59B8" w:rsidRPr="00D96ED2">
        <w:t>(</w:t>
      </w:r>
      <w:r w:rsidR="001C59B8" w:rsidRPr="00D96ED2">
        <w:rPr>
          <w:bCs/>
        </w:rPr>
        <w:t xml:space="preserve">y = -3.5528x + 28.352) </w:t>
      </w:r>
      <w:r w:rsidR="004D65A6" w:rsidRPr="00D96ED2">
        <w:t xml:space="preserve">was </w:t>
      </w:r>
      <w:r w:rsidR="001C59B8" w:rsidRPr="00D96ED2">
        <w:t>generated, showing a high amplification efficiency (</w:t>
      </w:r>
      <w:r w:rsidR="001C59B8" w:rsidRPr="00D96ED2">
        <w:rPr>
          <w:bCs/>
        </w:rPr>
        <w:t>E</w:t>
      </w:r>
      <w:r w:rsidR="001C59B8" w:rsidRPr="00D96ED2">
        <w:rPr>
          <w:bCs/>
          <w:i/>
        </w:rPr>
        <w:t xml:space="preserve"> </w:t>
      </w:r>
      <w:r w:rsidR="001C59B8" w:rsidRPr="00D96ED2">
        <w:rPr>
          <w:bCs/>
        </w:rPr>
        <w:t>= 91%) and a strong correlation between the number</w:t>
      </w:r>
      <w:r w:rsidR="00E4440C" w:rsidRPr="00D96ED2">
        <w:rPr>
          <w:bCs/>
        </w:rPr>
        <w:t>s</w:t>
      </w:r>
      <w:r w:rsidR="001C59B8" w:rsidRPr="00D96ED2">
        <w:rPr>
          <w:bCs/>
        </w:rPr>
        <w:t xml:space="preserve"> of nematodes added to autoclaved soil and the number</w:t>
      </w:r>
      <w:r w:rsidR="00E4440C" w:rsidRPr="00D96ED2">
        <w:rPr>
          <w:bCs/>
        </w:rPr>
        <w:t>s</w:t>
      </w:r>
      <w:r w:rsidR="001C59B8" w:rsidRPr="00D96ED2">
        <w:rPr>
          <w:bCs/>
        </w:rPr>
        <w:t xml:space="preserve"> determined by the</w:t>
      </w:r>
      <w:r w:rsidR="001C59B8" w:rsidRPr="00D96ED2">
        <w:rPr>
          <w:b/>
          <w:bCs/>
        </w:rPr>
        <w:t xml:space="preserve"> </w:t>
      </w:r>
      <w:r w:rsidR="001C59B8" w:rsidRPr="00D96ED2">
        <w:rPr>
          <w:bCs/>
        </w:rPr>
        <w:t>qPCR</w:t>
      </w:r>
      <w:r w:rsidR="001C59B8" w:rsidRPr="00D96ED2">
        <w:rPr>
          <w:b/>
          <w:bCs/>
        </w:rPr>
        <w:t xml:space="preserve"> </w:t>
      </w:r>
      <w:r w:rsidR="001C59B8" w:rsidRPr="00D96ED2">
        <w:t>(</w:t>
      </w:r>
      <w:r w:rsidR="004D65A6" w:rsidRPr="00F26700">
        <w:rPr>
          <w:bCs/>
        </w:rPr>
        <w:t>R²</w:t>
      </w:r>
      <w:r w:rsidR="004D65A6" w:rsidRPr="00D96ED2">
        <w:rPr>
          <w:bCs/>
        </w:rPr>
        <w:t xml:space="preserve"> = 0.99</w:t>
      </w:r>
      <w:r w:rsidR="001C59B8" w:rsidRPr="00D96ED2">
        <w:rPr>
          <w:bCs/>
        </w:rPr>
        <w:t xml:space="preserve">) </w:t>
      </w:r>
      <w:r w:rsidR="001C59B8" w:rsidRPr="00D96ED2">
        <w:rPr>
          <w:shd w:val="clear" w:color="auto" w:fill="FFFFFF"/>
        </w:rPr>
        <w:t>(Figure 2B).</w:t>
      </w:r>
      <w:r w:rsidR="004D65A6" w:rsidRPr="00D96ED2">
        <w:t xml:space="preserve"> </w:t>
      </w:r>
      <w:r w:rsidR="00D96ED2" w:rsidRPr="00D96ED2">
        <w:t>A good, positive correlation was observed between the numbers of nematodes obtained from the 15 field soil samples through manual counting and the corresponding qPCR counts (</w:t>
      </w:r>
      <w:r w:rsidR="00D96ED2" w:rsidRPr="00D96ED2">
        <w:rPr>
          <w:bCs/>
        </w:rPr>
        <w:t>y = 1.6825x - 334.97, R² = 0.7847</w:t>
      </w:r>
      <w:r w:rsidR="00D96ED2" w:rsidRPr="00D96ED2">
        <w:t>)</w:t>
      </w:r>
      <w:r w:rsidR="00625BB6">
        <w:t xml:space="preserve"> (Figure 3)</w:t>
      </w:r>
      <w:r w:rsidR="00D96ED2" w:rsidRPr="00D96ED2">
        <w:t xml:space="preserve">.   </w:t>
      </w:r>
    </w:p>
    <w:p w14:paraId="3E8762DB" w14:textId="57B5B4A6" w:rsidR="002A7508" w:rsidRDefault="007B0FAF" w:rsidP="00FF1446">
      <w:r w:rsidRPr="00D96ED2">
        <w:t xml:space="preserve">      </w:t>
      </w:r>
      <w:r w:rsidR="0082103D" w:rsidRPr="00C503CB">
        <w:t>The</w:t>
      </w:r>
      <w:r w:rsidR="00C3395B">
        <w:t xml:space="preserve"> resistance rating</w:t>
      </w:r>
      <w:r w:rsidR="0082103D" w:rsidRPr="00C503CB">
        <w:t xml:space="preserve"> results provide us </w:t>
      </w:r>
      <w:r w:rsidR="00EB671F" w:rsidRPr="00C503CB">
        <w:t xml:space="preserve">with </w:t>
      </w:r>
      <w:r w:rsidR="0082103D" w:rsidRPr="00C503CB">
        <w:t xml:space="preserve">an insight into the virulence of the new root-lesion nematode species, </w:t>
      </w:r>
      <w:r w:rsidR="0082103D" w:rsidRPr="00C503CB">
        <w:rPr>
          <w:i/>
        </w:rPr>
        <w:t>P dakotaensis</w:t>
      </w:r>
      <w:r w:rsidR="0082103D" w:rsidRPr="00C503CB">
        <w:t xml:space="preserve">, </w:t>
      </w:r>
      <w:r w:rsidR="00EB671F" w:rsidRPr="00C503CB">
        <w:t xml:space="preserve">on </w:t>
      </w:r>
      <w:r w:rsidR="0082103D" w:rsidRPr="00C503CB">
        <w:t xml:space="preserve">commercial soybean cultivars. </w:t>
      </w:r>
      <w:r w:rsidR="00EB671F" w:rsidRPr="00C503CB">
        <w:t xml:space="preserve">Further research is necessary to evaluate more cultivars to identify soybeans with resistance against </w:t>
      </w:r>
      <w:r w:rsidR="00EB671F" w:rsidRPr="00C503CB">
        <w:rPr>
          <w:i/>
        </w:rPr>
        <w:t>P. dakotaensis</w:t>
      </w:r>
      <w:r w:rsidR="00F64BA1" w:rsidRPr="00C503CB">
        <w:t xml:space="preserve">. </w:t>
      </w:r>
      <w:r w:rsidR="0082103D" w:rsidRPr="00C503CB">
        <w:t>Such research w</w:t>
      </w:r>
      <w:r w:rsidR="00EB671F" w:rsidRPr="00C503CB">
        <w:t>ould</w:t>
      </w:r>
      <w:r w:rsidR="0082103D" w:rsidRPr="00C503CB">
        <w:t xml:space="preserve"> be useful </w:t>
      </w:r>
      <w:r w:rsidR="00EB671F" w:rsidRPr="00C503CB">
        <w:t>to</w:t>
      </w:r>
      <w:r w:rsidR="0082103D" w:rsidRPr="00C503CB">
        <w:t xml:space="preserve"> identify best performing resistan</w:t>
      </w:r>
      <w:r w:rsidR="00EB671F" w:rsidRPr="00C503CB">
        <w:t>t</w:t>
      </w:r>
      <w:r w:rsidR="0082103D" w:rsidRPr="00C503CB">
        <w:t xml:space="preserve"> cultivars with which growers can </w:t>
      </w:r>
      <w:r w:rsidR="00EB671F" w:rsidRPr="00C503CB">
        <w:t xml:space="preserve">manage the nematode to </w:t>
      </w:r>
      <w:r w:rsidR="0082103D" w:rsidRPr="00C503CB">
        <w:t xml:space="preserve">minimize yield loss. </w:t>
      </w:r>
      <w:r w:rsidR="00C503CB" w:rsidRPr="00C503CB">
        <w:rPr>
          <w:rFonts w:eastAsia="Times New Roman"/>
          <w:bdr w:val="none" w:sz="0" w:space="0" w:color="auto" w:frame="1"/>
        </w:rPr>
        <w:t xml:space="preserve">The qPCR assay </w:t>
      </w:r>
      <w:r w:rsidR="00C503CB" w:rsidRPr="00C503CB">
        <w:t xml:space="preserve">provides a rapid and efficient method for </w:t>
      </w:r>
      <w:r w:rsidR="00C503CB" w:rsidRPr="00D96ED2">
        <w:rPr>
          <w:i/>
        </w:rPr>
        <w:t>P. dakotaensis</w:t>
      </w:r>
      <w:r w:rsidR="00C503CB" w:rsidRPr="00D96ED2">
        <w:t xml:space="preserve"> </w:t>
      </w:r>
      <w:r w:rsidR="00C503CB">
        <w:t xml:space="preserve">detection </w:t>
      </w:r>
      <w:r w:rsidR="00C503CB" w:rsidRPr="00C503CB">
        <w:t>and quantification in place of time-consuming steps of conventional nematode extraction, microscopic identification and counting. The developed assay does not require any taxonomical expertise, has immense practical significance and thus, can serve as a valuable diagnostic tool for providing informed decisions to growers</w:t>
      </w:r>
      <w:bookmarkStart w:id="0" w:name="_Hlk75599658"/>
      <w:r w:rsidR="006A5248">
        <w:t>.</w:t>
      </w:r>
    </w:p>
    <w:tbl>
      <w:tblPr>
        <w:tblpPr w:leftFromText="180" w:rightFromText="180" w:vertAnchor="text" w:horzAnchor="margin" w:tblpXSpec="center" w:tblpY="1111"/>
        <w:tblW w:w="11332" w:type="dxa"/>
        <w:tblLook w:val="04A0" w:firstRow="1" w:lastRow="0" w:firstColumn="1" w:lastColumn="0" w:noHBand="0" w:noVBand="1"/>
      </w:tblPr>
      <w:tblGrid>
        <w:gridCol w:w="2267"/>
        <w:gridCol w:w="2090"/>
        <w:gridCol w:w="1636"/>
        <w:gridCol w:w="1273"/>
        <w:gridCol w:w="1364"/>
        <w:gridCol w:w="1273"/>
        <w:gridCol w:w="1429"/>
      </w:tblGrid>
      <w:tr w:rsidR="00BC018F" w:rsidRPr="00BC018F" w14:paraId="3CB06B0C" w14:textId="77777777" w:rsidTr="002A7508">
        <w:trPr>
          <w:trHeight w:val="308"/>
        </w:trPr>
        <w:tc>
          <w:tcPr>
            <w:tcW w:w="2267" w:type="dxa"/>
            <w:tcBorders>
              <w:top w:val="single" w:sz="8" w:space="0" w:color="auto"/>
            </w:tcBorders>
            <w:shd w:val="clear" w:color="auto" w:fill="auto"/>
            <w:noWrap/>
            <w:vAlign w:val="bottom"/>
            <w:hideMark/>
          </w:tcPr>
          <w:p w14:paraId="6AE840F9" w14:textId="77777777" w:rsidR="00BC018F" w:rsidRPr="002A7508" w:rsidRDefault="00BC018F" w:rsidP="00BC018F">
            <w:pPr>
              <w:spacing w:after="0" w:line="240" w:lineRule="auto"/>
              <w:rPr>
                <w:rFonts w:eastAsia="Times New Roman"/>
              </w:rPr>
            </w:pPr>
          </w:p>
        </w:tc>
        <w:tc>
          <w:tcPr>
            <w:tcW w:w="2090" w:type="dxa"/>
            <w:tcBorders>
              <w:top w:val="single" w:sz="8" w:space="0" w:color="auto"/>
            </w:tcBorders>
            <w:shd w:val="clear" w:color="auto" w:fill="auto"/>
            <w:noWrap/>
            <w:vAlign w:val="bottom"/>
            <w:hideMark/>
          </w:tcPr>
          <w:p w14:paraId="6B11935B" w14:textId="77777777" w:rsidR="00BC018F" w:rsidRPr="002A7508" w:rsidRDefault="00BC018F" w:rsidP="00BC018F">
            <w:pPr>
              <w:spacing w:after="0" w:line="240" w:lineRule="auto"/>
              <w:rPr>
                <w:rFonts w:eastAsia="Times New Roman"/>
              </w:rPr>
            </w:pPr>
          </w:p>
        </w:tc>
        <w:tc>
          <w:tcPr>
            <w:tcW w:w="1636" w:type="dxa"/>
            <w:tcBorders>
              <w:top w:val="single" w:sz="8" w:space="0" w:color="auto"/>
            </w:tcBorders>
            <w:shd w:val="clear" w:color="auto" w:fill="auto"/>
            <w:noWrap/>
            <w:vAlign w:val="bottom"/>
            <w:hideMark/>
          </w:tcPr>
          <w:p w14:paraId="1C4EF07D" w14:textId="77777777" w:rsidR="00BC018F" w:rsidRPr="002A7508" w:rsidRDefault="00BC018F" w:rsidP="00BC018F">
            <w:pPr>
              <w:spacing w:after="0" w:line="240" w:lineRule="auto"/>
              <w:rPr>
                <w:rFonts w:eastAsia="Times New Roman"/>
              </w:rPr>
            </w:pPr>
          </w:p>
        </w:tc>
        <w:tc>
          <w:tcPr>
            <w:tcW w:w="2637" w:type="dxa"/>
            <w:gridSpan w:val="2"/>
            <w:tcBorders>
              <w:top w:val="single" w:sz="8" w:space="0" w:color="auto"/>
            </w:tcBorders>
            <w:shd w:val="clear" w:color="auto" w:fill="auto"/>
            <w:vAlign w:val="bottom"/>
            <w:hideMark/>
          </w:tcPr>
          <w:p w14:paraId="1B6CAA94" w14:textId="77777777" w:rsidR="00BC018F" w:rsidRPr="002A7508" w:rsidRDefault="00BC018F" w:rsidP="00BC018F">
            <w:pPr>
              <w:pBdr>
                <w:bottom w:val="single" w:sz="8" w:space="1" w:color="auto"/>
              </w:pBdr>
              <w:spacing w:after="0" w:line="240" w:lineRule="auto"/>
              <w:jc w:val="center"/>
              <w:rPr>
                <w:rFonts w:eastAsia="Times New Roman"/>
                <w:color w:val="000000"/>
              </w:rPr>
            </w:pPr>
            <w:r w:rsidRPr="002A7508">
              <w:rPr>
                <w:rFonts w:eastAsia="Times New Roman"/>
                <w:color w:val="000000"/>
              </w:rPr>
              <w:t>Average postharvest population density</w:t>
            </w:r>
          </w:p>
        </w:tc>
        <w:tc>
          <w:tcPr>
            <w:tcW w:w="2702" w:type="dxa"/>
            <w:gridSpan w:val="2"/>
            <w:tcBorders>
              <w:top w:val="single" w:sz="8" w:space="0" w:color="auto"/>
            </w:tcBorders>
            <w:shd w:val="clear" w:color="auto" w:fill="auto"/>
            <w:noWrap/>
            <w:vAlign w:val="bottom"/>
            <w:hideMark/>
          </w:tcPr>
          <w:p w14:paraId="32D8A7F7" w14:textId="77777777" w:rsidR="00BC018F" w:rsidRPr="002A7508" w:rsidRDefault="00BC018F" w:rsidP="00BC018F">
            <w:pPr>
              <w:pBdr>
                <w:bottom w:val="single" w:sz="8" w:space="1" w:color="auto"/>
              </w:pBdr>
              <w:spacing w:after="0" w:line="240" w:lineRule="auto"/>
              <w:jc w:val="center"/>
              <w:rPr>
                <w:rFonts w:eastAsia="Times New Roman"/>
                <w:color w:val="000000"/>
              </w:rPr>
            </w:pPr>
            <w:r w:rsidRPr="002A7508">
              <w:rPr>
                <w:rFonts w:eastAsia="Times New Roman"/>
                <w:color w:val="000000"/>
              </w:rPr>
              <w:t>Reproductive factor</w:t>
            </w:r>
          </w:p>
        </w:tc>
      </w:tr>
      <w:tr w:rsidR="00BC018F" w:rsidRPr="00BC018F" w14:paraId="36142BE7" w14:textId="77777777" w:rsidTr="002A7508">
        <w:trPr>
          <w:trHeight w:val="308"/>
        </w:trPr>
        <w:tc>
          <w:tcPr>
            <w:tcW w:w="2267" w:type="dxa"/>
            <w:tcBorders>
              <w:bottom w:val="single" w:sz="8" w:space="0" w:color="auto"/>
            </w:tcBorders>
            <w:shd w:val="clear" w:color="auto" w:fill="auto"/>
            <w:noWrap/>
            <w:vAlign w:val="bottom"/>
            <w:hideMark/>
          </w:tcPr>
          <w:p w14:paraId="57078DAA"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Cultivar ID</w:t>
            </w:r>
          </w:p>
        </w:tc>
        <w:tc>
          <w:tcPr>
            <w:tcW w:w="2090" w:type="dxa"/>
            <w:tcBorders>
              <w:bottom w:val="single" w:sz="8" w:space="0" w:color="auto"/>
            </w:tcBorders>
            <w:shd w:val="clear" w:color="auto" w:fill="auto"/>
            <w:noWrap/>
            <w:vAlign w:val="bottom"/>
            <w:hideMark/>
          </w:tcPr>
          <w:p w14:paraId="57D29896"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Company</w:t>
            </w:r>
          </w:p>
        </w:tc>
        <w:tc>
          <w:tcPr>
            <w:tcW w:w="1636" w:type="dxa"/>
            <w:tcBorders>
              <w:bottom w:val="single" w:sz="8" w:space="0" w:color="auto"/>
            </w:tcBorders>
            <w:shd w:val="clear" w:color="auto" w:fill="auto"/>
            <w:noWrap/>
            <w:vAlign w:val="bottom"/>
            <w:hideMark/>
          </w:tcPr>
          <w:p w14:paraId="45348690" w14:textId="77777777" w:rsidR="00BC018F" w:rsidRPr="002A7508" w:rsidRDefault="00BC018F" w:rsidP="002A7508">
            <w:pPr>
              <w:spacing w:after="0" w:line="240" w:lineRule="auto"/>
              <w:jc w:val="center"/>
              <w:rPr>
                <w:rFonts w:eastAsia="Times New Roman"/>
                <w:color w:val="000000"/>
              </w:rPr>
            </w:pPr>
            <w:r w:rsidRPr="002A7508">
              <w:rPr>
                <w:rFonts w:eastAsia="Times New Roman"/>
                <w:color w:val="000000"/>
              </w:rPr>
              <w:t>Maturity Group</w:t>
            </w:r>
          </w:p>
        </w:tc>
        <w:tc>
          <w:tcPr>
            <w:tcW w:w="1273" w:type="dxa"/>
            <w:tcBorders>
              <w:bottom w:val="single" w:sz="8" w:space="0" w:color="auto"/>
            </w:tcBorders>
            <w:shd w:val="clear" w:color="auto" w:fill="auto"/>
            <w:noWrap/>
            <w:vAlign w:val="bottom"/>
            <w:hideMark/>
          </w:tcPr>
          <w:p w14:paraId="0B1B1483"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Trial 1</w:t>
            </w:r>
          </w:p>
        </w:tc>
        <w:tc>
          <w:tcPr>
            <w:tcW w:w="1364" w:type="dxa"/>
            <w:tcBorders>
              <w:bottom w:val="single" w:sz="8" w:space="0" w:color="auto"/>
            </w:tcBorders>
            <w:shd w:val="clear" w:color="auto" w:fill="auto"/>
            <w:noWrap/>
            <w:vAlign w:val="bottom"/>
            <w:hideMark/>
          </w:tcPr>
          <w:p w14:paraId="28EEA308"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Trial 2</w:t>
            </w:r>
          </w:p>
        </w:tc>
        <w:tc>
          <w:tcPr>
            <w:tcW w:w="1273" w:type="dxa"/>
            <w:tcBorders>
              <w:bottom w:val="single" w:sz="8" w:space="0" w:color="auto"/>
            </w:tcBorders>
            <w:shd w:val="clear" w:color="auto" w:fill="auto"/>
            <w:noWrap/>
            <w:vAlign w:val="bottom"/>
            <w:hideMark/>
          </w:tcPr>
          <w:p w14:paraId="65F141A5"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Trial 1</w:t>
            </w:r>
          </w:p>
        </w:tc>
        <w:tc>
          <w:tcPr>
            <w:tcW w:w="1429" w:type="dxa"/>
            <w:tcBorders>
              <w:bottom w:val="single" w:sz="8" w:space="0" w:color="auto"/>
            </w:tcBorders>
            <w:shd w:val="clear" w:color="auto" w:fill="auto"/>
            <w:noWrap/>
            <w:vAlign w:val="bottom"/>
            <w:hideMark/>
          </w:tcPr>
          <w:p w14:paraId="73704BAD"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Trial 2</w:t>
            </w:r>
          </w:p>
        </w:tc>
      </w:tr>
      <w:tr w:rsidR="00BC018F" w:rsidRPr="00BC018F" w14:paraId="7DB3393D" w14:textId="77777777" w:rsidTr="002A7508">
        <w:trPr>
          <w:trHeight w:val="325"/>
        </w:trPr>
        <w:tc>
          <w:tcPr>
            <w:tcW w:w="2267" w:type="dxa"/>
            <w:tcBorders>
              <w:top w:val="single" w:sz="8" w:space="0" w:color="auto"/>
            </w:tcBorders>
            <w:shd w:val="clear" w:color="auto" w:fill="auto"/>
            <w:noWrap/>
            <w:vAlign w:val="center"/>
            <w:hideMark/>
          </w:tcPr>
          <w:p w14:paraId="3EE500BA"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0916R2X</w:t>
            </w:r>
          </w:p>
        </w:tc>
        <w:tc>
          <w:tcPr>
            <w:tcW w:w="2090" w:type="dxa"/>
            <w:tcBorders>
              <w:top w:val="single" w:sz="8" w:space="0" w:color="auto"/>
            </w:tcBorders>
            <w:shd w:val="clear" w:color="auto" w:fill="auto"/>
            <w:noWrap/>
            <w:vAlign w:val="center"/>
            <w:hideMark/>
          </w:tcPr>
          <w:p w14:paraId="7259C82B"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Channel</w:t>
            </w:r>
          </w:p>
        </w:tc>
        <w:tc>
          <w:tcPr>
            <w:tcW w:w="1636" w:type="dxa"/>
            <w:tcBorders>
              <w:top w:val="single" w:sz="8" w:space="0" w:color="auto"/>
            </w:tcBorders>
            <w:shd w:val="clear" w:color="auto" w:fill="auto"/>
            <w:noWrap/>
            <w:vAlign w:val="center"/>
            <w:hideMark/>
          </w:tcPr>
          <w:p w14:paraId="7961095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0.9</w:t>
            </w:r>
          </w:p>
        </w:tc>
        <w:tc>
          <w:tcPr>
            <w:tcW w:w="1273" w:type="dxa"/>
            <w:tcBorders>
              <w:top w:val="single" w:sz="8" w:space="0" w:color="auto"/>
            </w:tcBorders>
            <w:shd w:val="clear" w:color="auto" w:fill="auto"/>
            <w:noWrap/>
            <w:vAlign w:val="center"/>
            <w:hideMark/>
          </w:tcPr>
          <w:p w14:paraId="1AB021DA"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3,335</w:t>
            </w:r>
          </w:p>
        </w:tc>
        <w:tc>
          <w:tcPr>
            <w:tcW w:w="1364" w:type="dxa"/>
            <w:tcBorders>
              <w:top w:val="single" w:sz="8" w:space="0" w:color="auto"/>
            </w:tcBorders>
            <w:shd w:val="clear" w:color="auto" w:fill="auto"/>
            <w:noWrap/>
            <w:vAlign w:val="center"/>
            <w:hideMark/>
          </w:tcPr>
          <w:p w14:paraId="720F7A8A"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1,482</w:t>
            </w:r>
          </w:p>
        </w:tc>
        <w:tc>
          <w:tcPr>
            <w:tcW w:w="1273" w:type="dxa"/>
            <w:tcBorders>
              <w:top w:val="single" w:sz="8" w:space="0" w:color="auto"/>
            </w:tcBorders>
            <w:shd w:val="clear" w:color="auto" w:fill="auto"/>
            <w:noWrap/>
            <w:vAlign w:val="center"/>
            <w:hideMark/>
          </w:tcPr>
          <w:p w14:paraId="56DCF1D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2.08</w:t>
            </w:r>
          </w:p>
        </w:tc>
        <w:tc>
          <w:tcPr>
            <w:tcW w:w="1429" w:type="dxa"/>
            <w:tcBorders>
              <w:top w:val="single" w:sz="8" w:space="0" w:color="auto"/>
            </w:tcBorders>
            <w:shd w:val="clear" w:color="auto" w:fill="auto"/>
            <w:noWrap/>
            <w:vAlign w:val="center"/>
            <w:hideMark/>
          </w:tcPr>
          <w:p w14:paraId="7537EE05"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1.35</w:t>
            </w:r>
          </w:p>
        </w:tc>
      </w:tr>
      <w:tr w:rsidR="00BC018F" w:rsidRPr="00BC018F" w14:paraId="402BF914" w14:textId="77777777" w:rsidTr="002A7508">
        <w:trPr>
          <w:trHeight w:val="325"/>
        </w:trPr>
        <w:tc>
          <w:tcPr>
            <w:tcW w:w="2267" w:type="dxa"/>
            <w:shd w:val="clear" w:color="auto" w:fill="auto"/>
            <w:noWrap/>
            <w:vAlign w:val="center"/>
            <w:hideMark/>
          </w:tcPr>
          <w:p w14:paraId="5FA7CA13"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50-90</w:t>
            </w:r>
          </w:p>
        </w:tc>
        <w:tc>
          <w:tcPr>
            <w:tcW w:w="2090" w:type="dxa"/>
            <w:shd w:val="clear" w:color="auto" w:fill="auto"/>
            <w:noWrap/>
            <w:vAlign w:val="center"/>
            <w:hideMark/>
          </w:tcPr>
          <w:p w14:paraId="430030EA" w14:textId="77777777" w:rsidR="00BC018F" w:rsidRPr="002A7508" w:rsidRDefault="00BC018F" w:rsidP="00BC018F">
            <w:pPr>
              <w:spacing w:after="0" w:line="240" w:lineRule="auto"/>
              <w:rPr>
                <w:rFonts w:eastAsia="Times New Roman"/>
                <w:color w:val="000000"/>
              </w:rPr>
            </w:pPr>
            <w:proofErr w:type="spellStart"/>
            <w:r w:rsidRPr="002A7508">
              <w:rPr>
                <w:rFonts w:eastAsia="Times New Roman"/>
                <w:color w:val="000000"/>
              </w:rPr>
              <w:t>Proseed</w:t>
            </w:r>
            <w:proofErr w:type="spellEnd"/>
          </w:p>
        </w:tc>
        <w:tc>
          <w:tcPr>
            <w:tcW w:w="1636" w:type="dxa"/>
            <w:shd w:val="clear" w:color="auto" w:fill="auto"/>
            <w:noWrap/>
            <w:vAlign w:val="center"/>
            <w:hideMark/>
          </w:tcPr>
          <w:p w14:paraId="79615E11"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N/A</w:t>
            </w:r>
          </w:p>
        </w:tc>
        <w:tc>
          <w:tcPr>
            <w:tcW w:w="1273" w:type="dxa"/>
            <w:shd w:val="clear" w:color="auto" w:fill="auto"/>
            <w:noWrap/>
            <w:vAlign w:val="center"/>
            <w:hideMark/>
          </w:tcPr>
          <w:p w14:paraId="2762A2F2"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3,236</w:t>
            </w:r>
          </w:p>
        </w:tc>
        <w:tc>
          <w:tcPr>
            <w:tcW w:w="1364" w:type="dxa"/>
            <w:shd w:val="clear" w:color="auto" w:fill="auto"/>
            <w:noWrap/>
            <w:vAlign w:val="center"/>
            <w:hideMark/>
          </w:tcPr>
          <w:p w14:paraId="0E11DFA1"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1,647</w:t>
            </w:r>
          </w:p>
        </w:tc>
        <w:tc>
          <w:tcPr>
            <w:tcW w:w="1273" w:type="dxa"/>
            <w:shd w:val="clear" w:color="auto" w:fill="auto"/>
            <w:noWrap/>
            <w:vAlign w:val="center"/>
            <w:hideMark/>
          </w:tcPr>
          <w:p w14:paraId="5EBCE26D"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2.02</w:t>
            </w:r>
          </w:p>
        </w:tc>
        <w:tc>
          <w:tcPr>
            <w:tcW w:w="1429" w:type="dxa"/>
            <w:shd w:val="clear" w:color="auto" w:fill="auto"/>
            <w:noWrap/>
            <w:vAlign w:val="center"/>
            <w:hideMark/>
          </w:tcPr>
          <w:p w14:paraId="0F475F9E"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1.5</w:t>
            </w:r>
            <w:r w:rsidR="00684B2D">
              <w:rPr>
                <w:rFonts w:eastAsia="Times New Roman"/>
                <w:color w:val="000000"/>
              </w:rPr>
              <w:t>0</w:t>
            </w:r>
          </w:p>
        </w:tc>
      </w:tr>
      <w:tr w:rsidR="00BC018F" w:rsidRPr="00BC018F" w14:paraId="7CA9C862" w14:textId="77777777" w:rsidTr="002A7508">
        <w:trPr>
          <w:trHeight w:val="325"/>
        </w:trPr>
        <w:tc>
          <w:tcPr>
            <w:tcW w:w="2267" w:type="dxa"/>
            <w:shd w:val="clear" w:color="auto" w:fill="auto"/>
            <w:noWrap/>
            <w:vAlign w:val="center"/>
            <w:hideMark/>
          </w:tcPr>
          <w:p w14:paraId="71FF5572"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50948N</w:t>
            </w:r>
          </w:p>
        </w:tc>
        <w:tc>
          <w:tcPr>
            <w:tcW w:w="2090" w:type="dxa"/>
            <w:shd w:val="clear" w:color="auto" w:fill="auto"/>
            <w:noWrap/>
            <w:vAlign w:val="center"/>
            <w:hideMark/>
          </w:tcPr>
          <w:p w14:paraId="6B7DE6CE"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Integra Seed</w:t>
            </w:r>
          </w:p>
        </w:tc>
        <w:tc>
          <w:tcPr>
            <w:tcW w:w="1636" w:type="dxa"/>
            <w:shd w:val="clear" w:color="auto" w:fill="auto"/>
            <w:noWrap/>
            <w:vAlign w:val="center"/>
            <w:hideMark/>
          </w:tcPr>
          <w:p w14:paraId="580C585B"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0.9</w:t>
            </w:r>
          </w:p>
        </w:tc>
        <w:tc>
          <w:tcPr>
            <w:tcW w:w="1273" w:type="dxa"/>
            <w:shd w:val="clear" w:color="auto" w:fill="auto"/>
            <w:noWrap/>
            <w:vAlign w:val="center"/>
            <w:hideMark/>
          </w:tcPr>
          <w:p w14:paraId="6CA68E12"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3,430</w:t>
            </w:r>
          </w:p>
        </w:tc>
        <w:tc>
          <w:tcPr>
            <w:tcW w:w="1364" w:type="dxa"/>
            <w:shd w:val="clear" w:color="auto" w:fill="auto"/>
            <w:noWrap/>
            <w:vAlign w:val="center"/>
            <w:hideMark/>
          </w:tcPr>
          <w:p w14:paraId="4CA541C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1,694</w:t>
            </w:r>
          </w:p>
        </w:tc>
        <w:tc>
          <w:tcPr>
            <w:tcW w:w="1273" w:type="dxa"/>
            <w:shd w:val="clear" w:color="auto" w:fill="auto"/>
            <w:noWrap/>
            <w:vAlign w:val="center"/>
            <w:hideMark/>
          </w:tcPr>
          <w:p w14:paraId="7AD91ED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2.14</w:t>
            </w:r>
          </w:p>
        </w:tc>
        <w:tc>
          <w:tcPr>
            <w:tcW w:w="1429" w:type="dxa"/>
            <w:shd w:val="clear" w:color="auto" w:fill="auto"/>
            <w:noWrap/>
            <w:vAlign w:val="center"/>
            <w:hideMark/>
          </w:tcPr>
          <w:p w14:paraId="768237F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1.54</w:t>
            </w:r>
          </w:p>
        </w:tc>
      </w:tr>
      <w:tr w:rsidR="00BC018F" w:rsidRPr="00BC018F" w14:paraId="64A9AFEE" w14:textId="77777777" w:rsidTr="002A7508">
        <w:trPr>
          <w:trHeight w:val="325"/>
        </w:trPr>
        <w:tc>
          <w:tcPr>
            <w:tcW w:w="2267" w:type="dxa"/>
            <w:shd w:val="clear" w:color="auto" w:fill="auto"/>
            <w:noWrap/>
            <w:vAlign w:val="center"/>
            <w:hideMark/>
          </w:tcPr>
          <w:p w14:paraId="187946B9"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Barnes</w:t>
            </w:r>
          </w:p>
        </w:tc>
        <w:tc>
          <w:tcPr>
            <w:tcW w:w="2090" w:type="dxa"/>
            <w:shd w:val="clear" w:color="auto" w:fill="auto"/>
            <w:noWrap/>
            <w:vAlign w:val="center"/>
            <w:hideMark/>
          </w:tcPr>
          <w:p w14:paraId="7F9AE911"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NDSU breeding</w:t>
            </w:r>
          </w:p>
        </w:tc>
        <w:tc>
          <w:tcPr>
            <w:tcW w:w="1636" w:type="dxa"/>
            <w:shd w:val="clear" w:color="auto" w:fill="auto"/>
            <w:noWrap/>
            <w:vAlign w:val="center"/>
            <w:hideMark/>
          </w:tcPr>
          <w:p w14:paraId="74EC246A"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0.3</w:t>
            </w:r>
          </w:p>
        </w:tc>
        <w:tc>
          <w:tcPr>
            <w:tcW w:w="1273" w:type="dxa"/>
            <w:shd w:val="clear" w:color="auto" w:fill="auto"/>
            <w:noWrap/>
            <w:vAlign w:val="center"/>
            <w:hideMark/>
          </w:tcPr>
          <w:p w14:paraId="223DDE6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4,112</w:t>
            </w:r>
          </w:p>
        </w:tc>
        <w:tc>
          <w:tcPr>
            <w:tcW w:w="1364" w:type="dxa"/>
            <w:shd w:val="clear" w:color="auto" w:fill="auto"/>
            <w:noWrap/>
            <w:vAlign w:val="center"/>
            <w:hideMark/>
          </w:tcPr>
          <w:p w14:paraId="3A8B1FC4"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2,118</w:t>
            </w:r>
          </w:p>
        </w:tc>
        <w:tc>
          <w:tcPr>
            <w:tcW w:w="1273" w:type="dxa"/>
            <w:shd w:val="clear" w:color="auto" w:fill="auto"/>
            <w:noWrap/>
            <w:vAlign w:val="center"/>
            <w:hideMark/>
          </w:tcPr>
          <w:p w14:paraId="064E7B12"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2.57</w:t>
            </w:r>
          </w:p>
        </w:tc>
        <w:tc>
          <w:tcPr>
            <w:tcW w:w="1429" w:type="dxa"/>
            <w:shd w:val="clear" w:color="auto" w:fill="auto"/>
            <w:noWrap/>
            <w:vAlign w:val="center"/>
            <w:hideMark/>
          </w:tcPr>
          <w:p w14:paraId="0BD4255A"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1.93</w:t>
            </w:r>
          </w:p>
        </w:tc>
      </w:tr>
      <w:tr w:rsidR="00BC018F" w:rsidRPr="00BC018F" w14:paraId="787F1744" w14:textId="77777777" w:rsidTr="002A7508">
        <w:trPr>
          <w:trHeight w:val="325"/>
        </w:trPr>
        <w:tc>
          <w:tcPr>
            <w:tcW w:w="2267" w:type="dxa"/>
            <w:shd w:val="clear" w:color="auto" w:fill="auto"/>
            <w:noWrap/>
            <w:vAlign w:val="center"/>
            <w:hideMark/>
          </w:tcPr>
          <w:p w14:paraId="5CCF2D2D"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H06X7</w:t>
            </w:r>
          </w:p>
        </w:tc>
        <w:tc>
          <w:tcPr>
            <w:tcW w:w="2090" w:type="dxa"/>
            <w:shd w:val="clear" w:color="auto" w:fill="auto"/>
            <w:noWrap/>
            <w:vAlign w:val="center"/>
            <w:hideMark/>
          </w:tcPr>
          <w:p w14:paraId="130510E2"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Hefty Seed</w:t>
            </w:r>
          </w:p>
        </w:tc>
        <w:tc>
          <w:tcPr>
            <w:tcW w:w="1636" w:type="dxa"/>
            <w:shd w:val="clear" w:color="auto" w:fill="auto"/>
            <w:noWrap/>
            <w:vAlign w:val="center"/>
            <w:hideMark/>
          </w:tcPr>
          <w:p w14:paraId="44657968"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0.6</w:t>
            </w:r>
          </w:p>
        </w:tc>
        <w:tc>
          <w:tcPr>
            <w:tcW w:w="1273" w:type="dxa"/>
            <w:shd w:val="clear" w:color="auto" w:fill="auto"/>
            <w:noWrap/>
            <w:vAlign w:val="center"/>
            <w:hideMark/>
          </w:tcPr>
          <w:p w14:paraId="03EF5351"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4,243</w:t>
            </w:r>
          </w:p>
        </w:tc>
        <w:tc>
          <w:tcPr>
            <w:tcW w:w="1364" w:type="dxa"/>
            <w:shd w:val="clear" w:color="auto" w:fill="auto"/>
            <w:noWrap/>
            <w:vAlign w:val="center"/>
            <w:hideMark/>
          </w:tcPr>
          <w:p w14:paraId="0F5BF75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1,835</w:t>
            </w:r>
          </w:p>
        </w:tc>
        <w:tc>
          <w:tcPr>
            <w:tcW w:w="1273" w:type="dxa"/>
            <w:shd w:val="clear" w:color="auto" w:fill="auto"/>
            <w:noWrap/>
            <w:vAlign w:val="center"/>
            <w:hideMark/>
          </w:tcPr>
          <w:p w14:paraId="562B63F8"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2.65</w:t>
            </w:r>
          </w:p>
        </w:tc>
        <w:tc>
          <w:tcPr>
            <w:tcW w:w="1429" w:type="dxa"/>
            <w:shd w:val="clear" w:color="auto" w:fill="auto"/>
            <w:noWrap/>
            <w:vAlign w:val="center"/>
            <w:hideMark/>
          </w:tcPr>
          <w:p w14:paraId="59A70BDE"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1.67</w:t>
            </w:r>
          </w:p>
        </w:tc>
      </w:tr>
      <w:tr w:rsidR="00BC018F" w:rsidRPr="00BC018F" w14:paraId="7C8AB5B5" w14:textId="77777777" w:rsidTr="002A7508">
        <w:trPr>
          <w:trHeight w:val="325"/>
        </w:trPr>
        <w:tc>
          <w:tcPr>
            <w:tcW w:w="2267" w:type="dxa"/>
            <w:shd w:val="clear" w:color="auto" w:fill="auto"/>
            <w:noWrap/>
            <w:vAlign w:val="center"/>
            <w:hideMark/>
          </w:tcPr>
          <w:p w14:paraId="3EAC80D1"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LS-1138NRR2X</w:t>
            </w:r>
          </w:p>
        </w:tc>
        <w:tc>
          <w:tcPr>
            <w:tcW w:w="2090" w:type="dxa"/>
            <w:shd w:val="clear" w:color="auto" w:fill="auto"/>
            <w:noWrap/>
            <w:vAlign w:val="center"/>
            <w:hideMark/>
          </w:tcPr>
          <w:p w14:paraId="7AD6A82A"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Legacy Seed</w:t>
            </w:r>
          </w:p>
        </w:tc>
        <w:tc>
          <w:tcPr>
            <w:tcW w:w="1636" w:type="dxa"/>
            <w:shd w:val="clear" w:color="auto" w:fill="auto"/>
            <w:noWrap/>
            <w:vAlign w:val="center"/>
            <w:hideMark/>
          </w:tcPr>
          <w:p w14:paraId="17FE561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1.1</w:t>
            </w:r>
          </w:p>
        </w:tc>
        <w:tc>
          <w:tcPr>
            <w:tcW w:w="1273" w:type="dxa"/>
            <w:shd w:val="clear" w:color="auto" w:fill="auto"/>
            <w:noWrap/>
            <w:vAlign w:val="center"/>
            <w:hideMark/>
          </w:tcPr>
          <w:p w14:paraId="1339432A"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3,983</w:t>
            </w:r>
          </w:p>
        </w:tc>
        <w:tc>
          <w:tcPr>
            <w:tcW w:w="1364" w:type="dxa"/>
            <w:shd w:val="clear" w:color="auto" w:fill="auto"/>
            <w:noWrap/>
            <w:vAlign w:val="center"/>
            <w:hideMark/>
          </w:tcPr>
          <w:p w14:paraId="16D26C71"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1,859</w:t>
            </w:r>
          </w:p>
        </w:tc>
        <w:tc>
          <w:tcPr>
            <w:tcW w:w="1273" w:type="dxa"/>
            <w:shd w:val="clear" w:color="auto" w:fill="auto"/>
            <w:noWrap/>
            <w:vAlign w:val="center"/>
            <w:hideMark/>
          </w:tcPr>
          <w:p w14:paraId="2196D7C9"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2.49</w:t>
            </w:r>
          </w:p>
        </w:tc>
        <w:tc>
          <w:tcPr>
            <w:tcW w:w="1429" w:type="dxa"/>
            <w:shd w:val="clear" w:color="auto" w:fill="auto"/>
            <w:noWrap/>
            <w:vAlign w:val="center"/>
            <w:hideMark/>
          </w:tcPr>
          <w:p w14:paraId="32E0FE5B"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1.69</w:t>
            </w:r>
          </w:p>
        </w:tc>
      </w:tr>
      <w:tr w:rsidR="00BC018F" w:rsidRPr="00BC018F" w14:paraId="70692DDE" w14:textId="77777777" w:rsidTr="002A7508">
        <w:trPr>
          <w:trHeight w:val="325"/>
        </w:trPr>
        <w:tc>
          <w:tcPr>
            <w:tcW w:w="2267" w:type="dxa"/>
            <w:shd w:val="clear" w:color="auto" w:fill="auto"/>
            <w:noWrap/>
            <w:vAlign w:val="center"/>
            <w:hideMark/>
          </w:tcPr>
          <w:p w14:paraId="7069D9FC"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ND Benson</w:t>
            </w:r>
          </w:p>
        </w:tc>
        <w:tc>
          <w:tcPr>
            <w:tcW w:w="2090" w:type="dxa"/>
            <w:shd w:val="clear" w:color="auto" w:fill="auto"/>
            <w:noWrap/>
            <w:vAlign w:val="center"/>
            <w:hideMark/>
          </w:tcPr>
          <w:p w14:paraId="27DC94DB"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NDSU breeding</w:t>
            </w:r>
          </w:p>
        </w:tc>
        <w:tc>
          <w:tcPr>
            <w:tcW w:w="1636" w:type="dxa"/>
            <w:shd w:val="clear" w:color="auto" w:fill="auto"/>
            <w:noWrap/>
            <w:vAlign w:val="center"/>
            <w:hideMark/>
          </w:tcPr>
          <w:p w14:paraId="54475639"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0.4</w:t>
            </w:r>
          </w:p>
        </w:tc>
        <w:tc>
          <w:tcPr>
            <w:tcW w:w="1273" w:type="dxa"/>
            <w:shd w:val="clear" w:color="auto" w:fill="auto"/>
            <w:noWrap/>
            <w:vAlign w:val="center"/>
            <w:hideMark/>
          </w:tcPr>
          <w:p w14:paraId="4FC3992E"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4,610</w:t>
            </w:r>
          </w:p>
        </w:tc>
        <w:tc>
          <w:tcPr>
            <w:tcW w:w="1364" w:type="dxa"/>
            <w:shd w:val="clear" w:color="auto" w:fill="auto"/>
            <w:noWrap/>
            <w:vAlign w:val="center"/>
            <w:hideMark/>
          </w:tcPr>
          <w:p w14:paraId="1DD856B3"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2,206</w:t>
            </w:r>
          </w:p>
        </w:tc>
        <w:tc>
          <w:tcPr>
            <w:tcW w:w="1273" w:type="dxa"/>
            <w:shd w:val="clear" w:color="auto" w:fill="auto"/>
            <w:noWrap/>
            <w:vAlign w:val="center"/>
            <w:hideMark/>
          </w:tcPr>
          <w:p w14:paraId="0F82D477"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2.88</w:t>
            </w:r>
          </w:p>
        </w:tc>
        <w:tc>
          <w:tcPr>
            <w:tcW w:w="1429" w:type="dxa"/>
            <w:shd w:val="clear" w:color="auto" w:fill="auto"/>
            <w:noWrap/>
            <w:vAlign w:val="center"/>
            <w:hideMark/>
          </w:tcPr>
          <w:p w14:paraId="291D9EFE"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2.01</w:t>
            </w:r>
          </w:p>
        </w:tc>
      </w:tr>
      <w:tr w:rsidR="00BC018F" w:rsidRPr="00BC018F" w14:paraId="56322535" w14:textId="77777777" w:rsidTr="002A7508">
        <w:trPr>
          <w:trHeight w:val="325"/>
        </w:trPr>
        <w:tc>
          <w:tcPr>
            <w:tcW w:w="2267" w:type="dxa"/>
            <w:shd w:val="clear" w:color="auto" w:fill="auto"/>
            <w:noWrap/>
            <w:vAlign w:val="center"/>
            <w:hideMark/>
          </w:tcPr>
          <w:p w14:paraId="0E119550"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ND Stutsman</w:t>
            </w:r>
          </w:p>
        </w:tc>
        <w:tc>
          <w:tcPr>
            <w:tcW w:w="2090" w:type="dxa"/>
            <w:shd w:val="clear" w:color="auto" w:fill="auto"/>
            <w:noWrap/>
            <w:vAlign w:val="center"/>
            <w:hideMark/>
          </w:tcPr>
          <w:p w14:paraId="5399D4AF"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NDSU breeding</w:t>
            </w:r>
          </w:p>
        </w:tc>
        <w:tc>
          <w:tcPr>
            <w:tcW w:w="1636" w:type="dxa"/>
            <w:shd w:val="clear" w:color="auto" w:fill="auto"/>
            <w:noWrap/>
            <w:vAlign w:val="center"/>
            <w:hideMark/>
          </w:tcPr>
          <w:p w14:paraId="4F81275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0.7</w:t>
            </w:r>
          </w:p>
        </w:tc>
        <w:tc>
          <w:tcPr>
            <w:tcW w:w="1273" w:type="dxa"/>
            <w:shd w:val="clear" w:color="auto" w:fill="auto"/>
            <w:noWrap/>
            <w:vAlign w:val="center"/>
            <w:hideMark/>
          </w:tcPr>
          <w:p w14:paraId="28D053A3"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4,211</w:t>
            </w:r>
          </w:p>
        </w:tc>
        <w:tc>
          <w:tcPr>
            <w:tcW w:w="1364" w:type="dxa"/>
            <w:shd w:val="clear" w:color="auto" w:fill="auto"/>
            <w:noWrap/>
            <w:vAlign w:val="center"/>
            <w:hideMark/>
          </w:tcPr>
          <w:p w14:paraId="5B254BC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2,165</w:t>
            </w:r>
          </w:p>
        </w:tc>
        <w:tc>
          <w:tcPr>
            <w:tcW w:w="1273" w:type="dxa"/>
            <w:shd w:val="clear" w:color="auto" w:fill="auto"/>
            <w:noWrap/>
            <w:vAlign w:val="center"/>
            <w:hideMark/>
          </w:tcPr>
          <w:p w14:paraId="40DA3BDC"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2.63</w:t>
            </w:r>
          </w:p>
        </w:tc>
        <w:tc>
          <w:tcPr>
            <w:tcW w:w="1429" w:type="dxa"/>
            <w:shd w:val="clear" w:color="auto" w:fill="auto"/>
            <w:noWrap/>
            <w:vAlign w:val="center"/>
            <w:hideMark/>
          </w:tcPr>
          <w:p w14:paraId="0F3743D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1.97</w:t>
            </w:r>
          </w:p>
        </w:tc>
      </w:tr>
      <w:tr w:rsidR="00BC018F" w:rsidRPr="00BC018F" w14:paraId="6E617B61" w14:textId="77777777" w:rsidTr="002A7508">
        <w:trPr>
          <w:trHeight w:val="325"/>
        </w:trPr>
        <w:tc>
          <w:tcPr>
            <w:tcW w:w="2267" w:type="dxa"/>
            <w:shd w:val="clear" w:color="auto" w:fill="auto"/>
            <w:noWrap/>
            <w:vAlign w:val="center"/>
            <w:hideMark/>
          </w:tcPr>
          <w:p w14:paraId="5CCA527F"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NS 1492NR2</w:t>
            </w:r>
          </w:p>
        </w:tc>
        <w:tc>
          <w:tcPr>
            <w:tcW w:w="2090" w:type="dxa"/>
            <w:shd w:val="clear" w:color="auto" w:fill="auto"/>
            <w:noWrap/>
            <w:vAlign w:val="center"/>
            <w:hideMark/>
          </w:tcPr>
          <w:p w14:paraId="58CBAFB9"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NorthStar Genetics</w:t>
            </w:r>
          </w:p>
        </w:tc>
        <w:tc>
          <w:tcPr>
            <w:tcW w:w="1636" w:type="dxa"/>
            <w:shd w:val="clear" w:color="auto" w:fill="auto"/>
            <w:noWrap/>
            <w:vAlign w:val="center"/>
            <w:hideMark/>
          </w:tcPr>
          <w:p w14:paraId="19212107"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1.4</w:t>
            </w:r>
          </w:p>
        </w:tc>
        <w:tc>
          <w:tcPr>
            <w:tcW w:w="1273" w:type="dxa"/>
            <w:shd w:val="clear" w:color="auto" w:fill="auto"/>
            <w:noWrap/>
            <w:vAlign w:val="center"/>
            <w:hideMark/>
          </w:tcPr>
          <w:p w14:paraId="26FCD4B3"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5,490</w:t>
            </w:r>
          </w:p>
        </w:tc>
        <w:tc>
          <w:tcPr>
            <w:tcW w:w="1364" w:type="dxa"/>
            <w:shd w:val="clear" w:color="auto" w:fill="auto"/>
            <w:noWrap/>
            <w:vAlign w:val="center"/>
            <w:hideMark/>
          </w:tcPr>
          <w:p w14:paraId="4C78919F"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2,059</w:t>
            </w:r>
          </w:p>
        </w:tc>
        <w:tc>
          <w:tcPr>
            <w:tcW w:w="1273" w:type="dxa"/>
            <w:shd w:val="clear" w:color="auto" w:fill="auto"/>
            <w:noWrap/>
            <w:vAlign w:val="center"/>
            <w:hideMark/>
          </w:tcPr>
          <w:p w14:paraId="48775C4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3.43</w:t>
            </w:r>
          </w:p>
        </w:tc>
        <w:tc>
          <w:tcPr>
            <w:tcW w:w="1429" w:type="dxa"/>
            <w:shd w:val="clear" w:color="auto" w:fill="auto"/>
            <w:noWrap/>
            <w:vAlign w:val="center"/>
            <w:hideMark/>
          </w:tcPr>
          <w:p w14:paraId="261AD4C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1.87</w:t>
            </w:r>
          </w:p>
        </w:tc>
      </w:tr>
      <w:tr w:rsidR="00BC018F" w:rsidRPr="00BC018F" w14:paraId="5093DD82" w14:textId="77777777" w:rsidTr="002A7508">
        <w:trPr>
          <w:trHeight w:val="325"/>
        </w:trPr>
        <w:tc>
          <w:tcPr>
            <w:tcW w:w="2267" w:type="dxa"/>
            <w:shd w:val="clear" w:color="auto" w:fill="auto"/>
            <w:noWrap/>
            <w:vAlign w:val="center"/>
            <w:hideMark/>
          </w:tcPr>
          <w:p w14:paraId="2CC73512"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NS 1911NR2</w:t>
            </w:r>
          </w:p>
        </w:tc>
        <w:tc>
          <w:tcPr>
            <w:tcW w:w="2090" w:type="dxa"/>
            <w:shd w:val="clear" w:color="auto" w:fill="auto"/>
            <w:noWrap/>
            <w:vAlign w:val="center"/>
            <w:hideMark/>
          </w:tcPr>
          <w:p w14:paraId="714BBEB1"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NorthStar Genetics</w:t>
            </w:r>
          </w:p>
        </w:tc>
        <w:tc>
          <w:tcPr>
            <w:tcW w:w="1636" w:type="dxa"/>
            <w:shd w:val="clear" w:color="auto" w:fill="auto"/>
            <w:noWrap/>
            <w:vAlign w:val="center"/>
            <w:hideMark/>
          </w:tcPr>
          <w:p w14:paraId="01DF6D43"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1.9</w:t>
            </w:r>
          </w:p>
        </w:tc>
        <w:tc>
          <w:tcPr>
            <w:tcW w:w="1273" w:type="dxa"/>
            <w:shd w:val="clear" w:color="auto" w:fill="auto"/>
            <w:noWrap/>
            <w:vAlign w:val="center"/>
            <w:hideMark/>
          </w:tcPr>
          <w:p w14:paraId="736F589C"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4,986</w:t>
            </w:r>
          </w:p>
        </w:tc>
        <w:tc>
          <w:tcPr>
            <w:tcW w:w="1364" w:type="dxa"/>
            <w:shd w:val="clear" w:color="auto" w:fill="auto"/>
            <w:noWrap/>
            <w:vAlign w:val="center"/>
            <w:hideMark/>
          </w:tcPr>
          <w:p w14:paraId="11A75E8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2,235</w:t>
            </w:r>
          </w:p>
        </w:tc>
        <w:tc>
          <w:tcPr>
            <w:tcW w:w="1273" w:type="dxa"/>
            <w:shd w:val="clear" w:color="auto" w:fill="auto"/>
            <w:noWrap/>
            <w:vAlign w:val="center"/>
            <w:hideMark/>
          </w:tcPr>
          <w:p w14:paraId="5CE1086D"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3.12</w:t>
            </w:r>
          </w:p>
        </w:tc>
        <w:tc>
          <w:tcPr>
            <w:tcW w:w="1429" w:type="dxa"/>
            <w:shd w:val="clear" w:color="auto" w:fill="auto"/>
            <w:noWrap/>
            <w:vAlign w:val="center"/>
            <w:hideMark/>
          </w:tcPr>
          <w:p w14:paraId="400D12B7"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2.03</w:t>
            </w:r>
          </w:p>
        </w:tc>
      </w:tr>
      <w:tr w:rsidR="00BC018F" w:rsidRPr="00BC018F" w14:paraId="6D25F469" w14:textId="77777777" w:rsidTr="002A7508">
        <w:trPr>
          <w:trHeight w:val="325"/>
        </w:trPr>
        <w:tc>
          <w:tcPr>
            <w:tcW w:w="2267" w:type="dxa"/>
            <w:shd w:val="clear" w:color="auto" w:fill="auto"/>
            <w:noWrap/>
            <w:vAlign w:val="center"/>
            <w:hideMark/>
          </w:tcPr>
          <w:p w14:paraId="53A594B3"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NS 61624NXR2</w:t>
            </w:r>
          </w:p>
        </w:tc>
        <w:tc>
          <w:tcPr>
            <w:tcW w:w="2090" w:type="dxa"/>
            <w:shd w:val="clear" w:color="auto" w:fill="auto"/>
            <w:noWrap/>
            <w:vAlign w:val="center"/>
            <w:hideMark/>
          </w:tcPr>
          <w:p w14:paraId="12467404"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NorthStar Genetics</w:t>
            </w:r>
          </w:p>
        </w:tc>
        <w:tc>
          <w:tcPr>
            <w:tcW w:w="1636" w:type="dxa"/>
            <w:shd w:val="clear" w:color="auto" w:fill="auto"/>
            <w:noWrap/>
            <w:vAlign w:val="center"/>
            <w:hideMark/>
          </w:tcPr>
          <w:p w14:paraId="33DD80E4"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1.6</w:t>
            </w:r>
          </w:p>
        </w:tc>
        <w:tc>
          <w:tcPr>
            <w:tcW w:w="1273" w:type="dxa"/>
            <w:shd w:val="clear" w:color="auto" w:fill="auto"/>
            <w:noWrap/>
            <w:vAlign w:val="center"/>
            <w:hideMark/>
          </w:tcPr>
          <w:p w14:paraId="53A6709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6,930</w:t>
            </w:r>
          </w:p>
        </w:tc>
        <w:tc>
          <w:tcPr>
            <w:tcW w:w="1364" w:type="dxa"/>
            <w:shd w:val="clear" w:color="auto" w:fill="auto"/>
            <w:noWrap/>
            <w:vAlign w:val="center"/>
            <w:hideMark/>
          </w:tcPr>
          <w:p w14:paraId="333A0874"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2,165</w:t>
            </w:r>
          </w:p>
        </w:tc>
        <w:tc>
          <w:tcPr>
            <w:tcW w:w="1273" w:type="dxa"/>
            <w:shd w:val="clear" w:color="auto" w:fill="auto"/>
            <w:noWrap/>
            <w:vAlign w:val="center"/>
            <w:hideMark/>
          </w:tcPr>
          <w:p w14:paraId="54631B7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4.33</w:t>
            </w:r>
          </w:p>
        </w:tc>
        <w:tc>
          <w:tcPr>
            <w:tcW w:w="1429" w:type="dxa"/>
            <w:shd w:val="clear" w:color="auto" w:fill="auto"/>
            <w:noWrap/>
            <w:vAlign w:val="center"/>
            <w:hideMark/>
          </w:tcPr>
          <w:p w14:paraId="79207498"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1.97</w:t>
            </w:r>
          </w:p>
        </w:tc>
      </w:tr>
      <w:tr w:rsidR="00BC018F" w:rsidRPr="00BC018F" w14:paraId="3D04C6E7" w14:textId="77777777" w:rsidTr="002A7508">
        <w:trPr>
          <w:trHeight w:val="325"/>
        </w:trPr>
        <w:tc>
          <w:tcPr>
            <w:tcW w:w="2267" w:type="dxa"/>
            <w:shd w:val="clear" w:color="auto" w:fill="auto"/>
            <w:noWrap/>
            <w:vAlign w:val="center"/>
            <w:hideMark/>
          </w:tcPr>
          <w:p w14:paraId="641E5076"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SB-8807N</w:t>
            </w:r>
          </w:p>
        </w:tc>
        <w:tc>
          <w:tcPr>
            <w:tcW w:w="2090" w:type="dxa"/>
            <w:shd w:val="clear" w:color="auto" w:fill="auto"/>
            <w:noWrap/>
            <w:vAlign w:val="center"/>
            <w:hideMark/>
          </w:tcPr>
          <w:p w14:paraId="7A01A37E"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Thunder seed</w:t>
            </w:r>
          </w:p>
        </w:tc>
        <w:tc>
          <w:tcPr>
            <w:tcW w:w="1636" w:type="dxa"/>
            <w:shd w:val="clear" w:color="auto" w:fill="auto"/>
            <w:noWrap/>
            <w:vAlign w:val="center"/>
            <w:hideMark/>
          </w:tcPr>
          <w:p w14:paraId="2BEA16CE"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0.7</w:t>
            </w:r>
          </w:p>
        </w:tc>
        <w:tc>
          <w:tcPr>
            <w:tcW w:w="1273" w:type="dxa"/>
            <w:shd w:val="clear" w:color="auto" w:fill="auto"/>
            <w:noWrap/>
            <w:vAlign w:val="center"/>
            <w:hideMark/>
          </w:tcPr>
          <w:p w14:paraId="4E79A464"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4,380</w:t>
            </w:r>
          </w:p>
        </w:tc>
        <w:tc>
          <w:tcPr>
            <w:tcW w:w="1364" w:type="dxa"/>
            <w:shd w:val="clear" w:color="auto" w:fill="auto"/>
            <w:noWrap/>
            <w:vAlign w:val="center"/>
            <w:hideMark/>
          </w:tcPr>
          <w:p w14:paraId="2BA47C14"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2,118</w:t>
            </w:r>
          </w:p>
        </w:tc>
        <w:tc>
          <w:tcPr>
            <w:tcW w:w="1273" w:type="dxa"/>
            <w:shd w:val="clear" w:color="auto" w:fill="auto"/>
            <w:noWrap/>
            <w:vAlign w:val="center"/>
            <w:hideMark/>
          </w:tcPr>
          <w:p w14:paraId="6038C662"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2.74</w:t>
            </w:r>
          </w:p>
        </w:tc>
        <w:tc>
          <w:tcPr>
            <w:tcW w:w="1429" w:type="dxa"/>
            <w:shd w:val="clear" w:color="auto" w:fill="auto"/>
            <w:noWrap/>
            <w:vAlign w:val="center"/>
            <w:hideMark/>
          </w:tcPr>
          <w:p w14:paraId="7D1F838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1.93</w:t>
            </w:r>
          </w:p>
        </w:tc>
      </w:tr>
      <w:tr w:rsidR="00BC018F" w:rsidRPr="00BC018F" w14:paraId="3E198A21" w14:textId="77777777" w:rsidTr="002A7508">
        <w:trPr>
          <w:trHeight w:val="339"/>
        </w:trPr>
        <w:tc>
          <w:tcPr>
            <w:tcW w:w="2267" w:type="dxa"/>
            <w:tcBorders>
              <w:bottom w:val="single" w:sz="8" w:space="0" w:color="auto"/>
            </w:tcBorders>
            <w:shd w:val="clear" w:color="auto" w:fill="auto"/>
            <w:noWrap/>
            <w:vAlign w:val="center"/>
            <w:hideMark/>
          </w:tcPr>
          <w:p w14:paraId="7B4F5A11"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Non-planted control</w:t>
            </w:r>
          </w:p>
        </w:tc>
        <w:tc>
          <w:tcPr>
            <w:tcW w:w="2090" w:type="dxa"/>
            <w:tcBorders>
              <w:bottom w:val="single" w:sz="8" w:space="0" w:color="auto"/>
            </w:tcBorders>
            <w:shd w:val="clear" w:color="auto" w:fill="auto"/>
            <w:noWrap/>
            <w:vAlign w:val="center"/>
            <w:hideMark/>
          </w:tcPr>
          <w:p w14:paraId="2E3F2953" w14:textId="77777777" w:rsidR="00BC018F" w:rsidRPr="002A7508" w:rsidRDefault="00BC018F" w:rsidP="00BC018F">
            <w:pPr>
              <w:spacing w:after="0" w:line="240" w:lineRule="auto"/>
              <w:rPr>
                <w:rFonts w:eastAsia="Times New Roman"/>
                <w:color w:val="000000"/>
              </w:rPr>
            </w:pPr>
            <w:r w:rsidRPr="002A7508">
              <w:rPr>
                <w:rFonts w:eastAsia="Times New Roman"/>
                <w:color w:val="000000"/>
              </w:rPr>
              <w:t>-</w:t>
            </w:r>
          </w:p>
        </w:tc>
        <w:tc>
          <w:tcPr>
            <w:tcW w:w="1636" w:type="dxa"/>
            <w:tcBorders>
              <w:bottom w:val="single" w:sz="8" w:space="0" w:color="auto"/>
            </w:tcBorders>
            <w:shd w:val="clear" w:color="auto" w:fill="auto"/>
            <w:noWrap/>
            <w:vAlign w:val="center"/>
            <w:hideMark/>
          </w:tcPr>
          <w:p w14:paraId="4821256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w:t>
            </w:r>
          </w:p>
        </w:tc>
        <w:tc>
          <w:tcPr>
            <w:tcW w:w="1273" w:type="dxa"/>
            <w:tcBorders>
              <w:bottom w:val="single" w:sz="8" w:space="0" w:color="auto"/>
            </w:tcBorders>
            <w:shd w:val="clear" w:color="auto" w:fill="auto"/>
            <w:noWrap/>
            <w:vAlign w:val="center"/>
            <w:hideMark/>
          </w:tcPr>
          <w:p w14:paraId="3AA4A880"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1,450</w:t>
            </w:r>
          </w:p>
        </w:tc>
        <w:tc>
          <w:tcPr>
            <w:tcW w:w="1364" w:type="dxa"/>
            <w:tcBorders>
              <w:bottom w:val="single" w:sz="8" w:space="0" w:color="auto"/>
            </w:tcBorders>
            <w:shd w:val="clear" w:color="auto" w:fill="auto"/>
            <w:noWrap/>
            <w:vAlign w:val="center"/>
            <w:hideMark/>
          </w:tcPr>
          <w:p w14:paraId="59E1064C"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541</w:t>
            </w:r>
          </w:p>
        </w:tc>
        <w:tc>
          <w:tcPr>
            <w:tcW w:w="1273" w:type="dxa"/>
            <w:tcBorders>
              <w:bottom w:val="single" w:sz="8" w:space="0" w:color="auto"/>
            </w:tcBorders>
            <w:shd w:val="clear" w:color="auto" w:fill="auto"/>
            <w:noWrap/>
            <w:vAlign w:val="center"/>
            <w:hideMark/>
          </w:tcPr>
          <w:p w14:paraId="28BB7C9C"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0.91</w:t>
            </w:r>
          </w:p>
        </w:tc>
        <w:tc>
          <w:tcPr>
            <w:tcW w:w="1429" w:type="dxa"/>
            <w:tcBorders>
              <w:bottom w:val="single" w:sz="8" w:space="0" w:color="auto"/>
            </w:tcBorders>
            <w:shd w:val="clear" w:color="auto" w:fill="auto"/>
            <w:noWrap/>
            <w:vAlign w:val="center"/>
            <w:hideMark/>
          </w:tcPr>
          <w:p w14:paraId="3BA82ED6" w14:textId="77777777" w:rsidR="00BC018F" w:rsidRPr="002A7508" w:rsidRDefault="00BC018F" w:rsidP="00BC018F">
            <w:pPr>
              <w:spacing w:after="0" w:line="240" w:lineRule="auto"/>
              <w:jc w:val="center"/>
              <w:rPr>
                <w:rFonts w:eastAsia="Times New Roman"/>
                <w:color w:val="000000"/>
              </w:rPr>
            </w:pPr>
            <w:r w:rsidRPr="002A7508">
              <w:rPr>
                <w:rFonts w:eastAsia="Times New Roman"/>
                <w:color w:val="000000"/>
              </w:rPr>
              <w:t>0.49</w:t>
            </w:r>
          </w:p>
        </w:tc>
      </w:tr>
    </w:tbl>
    <w:p w14:paraId="74D4EB47" w14:textId="62F1352E" w:rsidR="002A7508" w:rsidRDefault="002A7508" w:rsidP="002A7508">
      <w:pPr>
        <w:spacing w:after="0" w:line="240" w:lineRule="auto"/>
      </w:pPr>
      <w:r w:rsidRPr="005C039D">
        <w:t xml:space="preserve">Table 1. Postharvest population density and reproductive factor of </w:t>
      </w:r>
      <w:r>
        <w:t>the new root-lesion nematode species (</w:t>
      </w:r>
      <w:proofErr w:type="spellStart"/>
      <w:r w:rsidR="00F26700" w:rsidRPr="00D96ED2">
        <w:rPr>
          <w:i/>
        </w:rPr>
        <w:t>Pratylenchus</w:t>
      </w:r>
      <w:proofErr w:type="spellEnd"/>
      <w:r w:rsidRPr="005C039D">
        <w:rPr>
          <w:i/>
        </w:rPr>
        <w:t xml:space="preserve"> </w:t>
      </w:r>
      <w:proofErr w:type="spellStart"/>
      <w:r w:rsidRPr="005C039D">
        <w:rPr>
          <w:i/>
        </w:rPr>
        <w:t>dakotaensis</w:t>
      </w:r>
      <w:proofErr w:type="spellEnd"/>
      <w:r>
        <w:t>)</w:t>
      </w:r>
      <w:r w:rsidRPr="005C039D">
        <w:t xml:space="preserve"> on each of the soybean cultivars</w:t>
      </w:r>
      <w:r>
        <w:t xml:space="preserve"> and controls </w:t>
      </w:r>
      <w:r w:rsidRPr="005C039D">
        <w:t xml:space="preserve">in </w:t>
      </w:r>
      <w:r>
        <w:t>two</w:t>
      </w:r>
      <w:r w:rsidRPr="005C039D">
        <w:t xml:space="preserve"> trials </w:t>
      </w:r>
      <w:r>
        <w:t>conducted</w:t>
      </w:r>
      <w:r w:rsidRPr="005C039D">
        <w:t xml:space="preserve">. </w:t>
      </w:r>
    </w:p>
    <w:p w14:paraId="2752F416" w14:textId="77777777" w:rsidR="002A7508" w:rsidRDefault="002A7508" w:rsidP="008F0937"/>
    <w:p w14:paraId="346ABC0C" w14:textId="77777777" w:rsidR="008F0937" w:rsidRPr="005C039D" w:rsidRDefault="008F0937" w:rsidP="008F0937">
      <w:r w:rsidRPr="005C039D">
        <w:t xml:space="preserve">**Postharvest population density was obtained by averaging five replicates of each of the cultivars. Reproductive factor was determined by dividing the average postharvest population density by the initial population density. </w:t>
      </w:r>
    </w:p>
    <w:p w14:paraId="7DBCD9D8" w14:textId="77777777" w:rsidR="008F0937" w:rsidRPr="005C039D" w:rsidRDefault="008F0937" w:rsidP="008F0937"/>
    <w:p w14:paraId="50FE2A3B" w14:textId="77777777" w:rsidR="008F0937" w:rsidRPr="005C039D" w:rsidRDefault="008F0937" w:rsidP="008F0937"/>
    <w:p w14:paraId="41A6EF87" w14:textId="77777777" w:rsidR="008F0937" w:rsidRPr="005C039D" w:rsidRDefault="008F0937" w:rsidP="008F0937"/>
    <w:p w14:paraId="3C3FDC92" w14:textId="77777777" w:rsidR="008F0937" w:rsidRDefault="008F0937" w:rsidP="008F0937"/>
    <w:p w14:paraId="78FD8E4C" w14:textId="77777777" w:rsidR="008F0937" w:rsidRDefault="008F0937" w:rsidP="008F0937"/>
    <w:p w14:paraId="324901D5" w14:textId="77777777" w:rsidR="008F0937" w:rsidRDefault="008F0937" w:rsidP="008F0937"/>
    <w:p w14:paraId="35D8048C" w14:textId="77777777" w:rsidR="008F0937" w:rsidRPr="005C039D" w:rsidRDefault="008F0937" w:rsidP="008F0937"/>
    <w:p w14:paraId="3B33433B" w14:textId="77777777" w:rsidR="008F0937" w:rsidRDefault="008F0937" w:rsidP="008F0937"/>
    <w:p w14:paraId="38A6F624" w14:textId="77777777" w:rsidR="0067002B" w:rsidRDefault="0067002B" w:rsidP="008F0937"/>
    <w:p w14:paraId="783D9665" w14:textId="77777777" w:rsidR="002A7508" w:rsidRDefault="002A7508" w:rsidP="008F0937"/>
    <w:p w14:paraId="6DBFA04B" w14:textId="77777777" w:rsidR="00446BF4" w:rsidRDefault="00446BF4" w:rsidP="008F0937"/>
    <w:p w14:paraId="6B7543F8" w14:textId="404C1AA0" w:rsidR="008F0937" w:rsidRDefault="008F0937" w:rsidP="008F0937">
      <w:pPr>
        <w:rPr>
          <w:szCs w:val="20"/>
        </w:rPr>
      </w:pPr>
      <w:r>
        <w:lastRenderedPageBreak/>
        <w:t xml:space="preserve">Table 2. </w:t>
      </w:r>
      <w:r w:rsidRPr="00CB3014">
        <w:t>Host ranking of t</w:t>
      </w:r>
      <w:r>
        <w:t>en</w:t>
      </w:r>
      <w:r w:rsidRPr="00CB3014">
        <w:t xml:space="preserve"> soybean cultivars</w:t>
      </w:r>
      <w:r>
        <w:t>,</w:t>
      </w:r>
      <w:r w:rsidRPr="00CB3014">
        <w:t xml:space="preserve"> the positive control “Barnes”</w:t>
      </w:r>
      <w:r>
        <w:t xml:space="preserve"> and the susceptible check NS 1911NR2 </w:t>
      </w:r>
      <w:r w:rsidRPr="00CB3014">
        <w:t xml:space="preserve">to </w:t>
      </w:r>
      <w:r w:rsidR="00684B2D">
        <w:t>the new root-lesion nematode species (</w:t>
      </w:r>
      <w:proofErr w:type="spellStart"/>
      <w:r w:rsidR="00F26700" w:rsidRPr="00D96ED2">
        <w:rPr>
          <w:i/>
        </w:rPr>
        <w:t>Pratylenchus</w:t>
      </w:r>
      <w:proofErr w:type="spellEnd"/>
      <w:r w:rsidRPr="00CB3014">
        <w:rPr>
          <w:i/>
          <w:szCs w:val="20"/>
        </w:rPr>
        <w:t xml:space="preserve"> dakotaensis</w:t>
      </w:r>
      <w:r w:rsidR="00684B2D">
        <w:rPr>
          <w:szCs w:val="20"/>
        </w:rPr>
        <w:t>)</w:t>
      </w:r>
      <w:r>
        <w:rPr>
          <w:szCs w:val="20"/>
        </w:rPr>
        <w:t>.</w:t>
      </w:r>
    </w:p>
    <w:tbl>
      <w:tblPr>
        <w:tblpPr w:leftFromText="180" w:rightFromText="180" w:vertAnchor="page" w:horzAnchor="margin" w:tblpXSpec="center" w:tblpY="2206"/>
        <w:tblW w:w="11131" w:type="dxa"/>
        <w:tblLook w:val="04A0" w:firstRow="1" w:lastRow="0" w:firstColumn="1" w:lastColumn="0" w:noHBand="0" w:noVBand="1"/>
      </w:tblPr>
      <w:tblGrid>
        <w:gridCol w:w="2160"/>
        <w:gridCol w:w="2070"/>
        <w:gridCol w:w="1530"/>
        <w:gridCol w:w="1170"/>
        <w:gridCol w:w="90"/>
        <w:gridCol w:w="1440"/>
        <w:gridCol w:w="1245"/>
        <w:gridCol w:w="148"/>
        <w:gridCol w:w="1278"/>
      </w:tblGrid>
      <w:tr w:rsidR="008F0937" w:rsidRPr="00230932" w14:paraId="0E6D7E3D" w14:textId="77777777" w:rsidTr="00684B2D">
        <w:trPr>
          <w:trHeight w:val="278"/>
        </w:trPr>
        <w:tc>
          <w:tcPr>
            <w:tcW w:w="2160" w:type="dxa"/>
            <w:vMerge w:val="restart"/>
            <w:tcBorders>
              <w:top w:val="single" w:sz="8" w:space="0" w:color="auto"/>
            </w:tcBorders>
            <w:shd w:val="clear" w:color="auto" w:fill="auto"/>
            <w:noWrap/>
            <w:vAlign w:val="bottom"/>
            <w:hideMark/>
          </w:tcPr>
          <w:p w14:paraId="0CBD8280"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Cultivar ID</w:t>
            </w:r>
          </w:p>
        </w:tc>
        <w:tc>
          <w:tcPr>
            <w:tcW w:w="2070" w:type="dxa"/>
            <w:vMerge w:val="restart"/>
            <w:tcBorders>
              <w:top w:val="single" w:sz="8" w:space="0" w:color="auto"/>
            </w:tcBorders>
            <w:shd w:val="clear" w:color="auto" w:fill="auto"/>
            <w:noWrap/>
            <w:vAlign w:val="bottom"/>
            <w:hideMark/>
          </w:tcPr>
          <w:p w14:paraId="5D44104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Company</w:t>
            </w:r>
          </w:p>
        </w:tc>
        <w:tc>
          <w:tcPr>
            <w:tcW w:w="1530" w:type="dxa"/>
            <w:vMerge w:val="restart"/>
            <w:tcBorders>
              <w:top w:val="single" w:sz="8" w:space="0" w:color="auto"/>
            </w:tcBorders>
            <w:shd w:val="clear" w:color="auto" w:fill="auto"/>
            <w:noWrap/>
            <w:vAlign w:val="bottom"/>
            <w:hideMark/>
          </w:tcPr>
          <w:p w14:paraId="1731ABAB"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Maturity Group</w:t>
            </w:r>
          </w:p>
        </w:tc>
        <w:tc>
          <w:tcPr>
            <w:tcW w:w="2700" w:type="dxa"/>
            <w:gridSpan w:val="3"/>
            <w:tcBorders>
              <w:top w:val="single" w:sz="8" w:space="0" w:color="auto"/>
            </w:tcBorders>
            <w:shd w:val="clear" w:color="auto" w:fill="auto"/>
            <w:noWrap/>
            <w:vAlign w:val="bottom"/>
          </w:tcPr>
          <w:p w14:paraId="67938F38" w14:textId="77777777" w:rsidR="008F0937" w:rsidRPr="00684B2D" w:rsidRDefault="008F0937" w:rsidP="008F0937">
            <w:pPr>
              <w:pBdr>
                <w:bottom w:val="single" w:sz="8" w:space="1" w:color="auto"/>
              </w:pBdr>
              <w:spacing w:after="0" w:line="240" w:lineRule="auto"/>
              <w:jc w:val="center"/>
              <w:rPr>
                <w:rFonts w:eastAsia="Times New Roman"/>
                <w:color w:val="000000"/>
              </w:rPr>
            </w:pPr>
            <w:r w:rsidRPr="00684B2D">
              <w:rPr>
                <w:rFonts w:eastAsia="Times New Roman"/>
                <w:color w:val="000000"/>
              </w:rPr>
              <w:t>Trial 1</w:t>
            </w:r>
          </w:p>
        </w:tc>
        <w:tc>
          <w:tcPr>
            <w:tcW w:w="2671" w:type="dxa"/>
            <w:gridSpan w:val="3"/>
            <w:tcBorders>
              <w:top w:val="single" w:sz="8" w:space="0" w:color="auto"/>
            </w:tcBorders>
            <w:shd w:val="clear" w:color="auto" w:fill="auto"/>
            <w:noWrap/>
            <w:vAlign w:val="bottom"/>
          </w:tcPr>
          <w:p w14:paraId="22EA37DA" w14:textId="77777777" w:rsidR="008F0937" w:rsidRPr="00684B2D" w:rsidRDefault="008F0937" w:rsidP="008F0937">
            <w:pPr>
              <w:pBdr>
                <w:bottom w:val="single" w:sz="8" w:space="1" w:color="auto"/>
              </w:pBdr>
              <w:spacing w:after="0" w:line="240" w:lineRule="auto"/>
              <w:jc w:val="center"/>
              <w:rPr>
                <w:rFonts w:eastAsia="Times New Roman"/>
                <w:color w:val="000000"/>
              </w:rPr>
            </w:pPr>
            <w:r w:rsidRPr="00684B2D">
              <w:rPr>
                <w:rFonts w:eastAsia="Times New Roman"/>
                <w:color w:val="000000"/>
              </w:rPr>
              <w:t>Trial 2</w:t>
            </w:r>
          </w:p>
        </w:tc>
      </w:tr>
      <w:tr w:rsidR="008F0937" w:rsidRPr="00230932" w14:paraId="365B56F0" w14:textId="77777777" w:rsidTr="00684B2D">
        <w:trPr>
          <w:trHeight w:val="277"/>
        </w:trPr>
        <w:tc>
          <w:tcPr>
            <w:tcW w:w="2160" w:type="dxa"/>
            <w:vMerge/>
            <w:tcBorders>
              <w:bottom w:val="single" w:sz="8" w:space="0" w:color="auto"/>
            </w:tcBorders>
            <w:shd w:val="clear" w:color="auto" w:fill="auto"/>
            <w:noWrap/>
            <w:vAlign w:val="bottom"/>
          </w:tcPr>
          <w:p w14:paraId="1990AE0C" w14:textId="77777777" w:rsidR="008F0937" w:rsidRPr="00684B2D" w:rsidRDefault="008F0937" w:rsidP="008F0937">
            <w:pPr>
              <w:spacing w:after="0" w:line="240" w:lineRule="auto"/>
              <w:rPr>
                <w:rFonts w:eastAsia="Times New Roman"/>
                <w:color w:val="000000"/>
              </w:rPr>
            </w:pPr>
          </w:p>
        </w:tc>
        <w:tc>
          <w:tcPr>
            <w:tcW w:w="2070" w:type="dxa"/>
            <w:vMerge/>
            <w:tcBorders>
              <w:bottom w:val="single" w:sz="8" w:space="0" w:color="auto"/>
            </w:tcBorders>
            <w:shd w:val="clear" w:color="auto" w:fill="auto"/>
            <w:noWrap/>
            <w:vAlign w:val="bottom"/>
          </w:tcPr>
          <w:p w14:paraId="5E71CB90" w14:textId="77777777" w:rsidR="008F0937" w:rsidRPr="00684B2D" w:rsidRDefault="008F0937" w:rsidP="008F0937">
            <w:pPr>
              <w:spacing w:after="0" w:line="240" w:lineRule="auto"/>
              <w:rPr>
                <w:rFonts w:eastAsia="Times New Roman"/>
                <w:color w:val="000000"/>
              </w:rPr>
            </w:pPr>
          </w:p>
        </w:tc>
        <w:tc>
          <w:tcPr>
            <w:tcW w:w="1530" w:type="dxa"/>
            <w:vMerge/>
            <w:tcBorders>
              <w:bottom w:val="single" w:sz="8" w:space="0" w:color="auto"/>
            </w:tcBorders>
            <w:shd w:val="clear" w:color="auto" w:fill="auto"/>
            <w:noWrap/>
            <w:vAlign w:val="bottom"/>
          </w:tcPr>
          <w:p w14:paraId="4E9B3EE9" w14:textId="77777777" w:rsidR="008F0937" w:rsidRPr="00684B2D" w:rsidRDefault="008F0937" w:rsidP="008F0937">
            <w:pPr>
              <w:spacing w:after="0" w:line="240" w:lineRule="auto"/>
              <w:jc w:val="center"/>
              <w:rPr>
                <w:rFonts w:eastAsia="Times New Roman"/>
                <w:color w:val="000000"/>
              </w:rPr>
            </w:pPr>
          </w:p>
        </w:tc>
        <w:tc>
          <w:tcPr>
            <w:tcW w:w="1260" w:type="dxa"/>
            <w:gridSpan w:val="2"/>
            <w:tcBorders>
              <w:bottom w:val="single" w:sz="8" w:space="0" w:color="auto"/>
            </w:tcBorders>
            <w:shd w:val="clear" w:color="auto" w:fill="auto"/>
            <w:noWrap/>
            <w:vAlign w:val="bottom"/>
          </w:tcPr>
          <w:p w14:paraId="34C9443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Ratio (%)</w:t>
            </w:r>
          </w:p>
        </w:tc>
        <w:tc>
          <w:tcPr>
            <w:tcW w:w="1440" w:type="dxa"/>
            <w:tcBorders>
              <w:bottom w:val="single" w:sz="8" w:space="0" w:color="auto"/>
            </w:tcBorders>
            <w:shd w:val="clear" w:color="auto" w:fill="auto"/>
            <w:vAlign w:val="bottom"/>
          </w:tcPr>
          <w:p w14:paraId="2849D395"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Resistance rating</w:t>
            </w:r>
          </w:p>
        </w:tc>
        <w:tc>
          <w:tcPr>
            <w:tcW w:w="1245" w:type="dxa"/>
            <w:tcBorders>
              <w:bottom w:val="single" w:sz="8" w:space="0" w:color="auto"/>
            </w:tcBorders>
            <w:shd w:val="clear" w:color="auto" w:fill="auto"/>
            <w:noWrap/>
            <w:vAlign w:val="bottom"/>
          </w:tcPr>
          <w:p w14:paraId="3346D56B"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Ratio (%)</w:t>
            </w:r>
          </w:p>
        </w:tc>
        <w:tc>
          <w:tcPr>
            <w:tcW w:w="1426" w:type="dxa"/>
            <w:gridSpan w:val="2"/>
            <w:tcBorders>
              <w:bottom w:val="single" w:sz="8" w:space="0" w:color="auto"/>
            </w:tcBorders>
            <w:shd w:val="clear" w:color="auto" w:fill="auto"/>
            <w:vAlign w:val="bottom"/>
          </w:tcPr>
          <w:p w14:paraId="3F763EFD"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Resistance rating</w:t>
            </w:r>
          </w:p>
        </w:tc>
      </w:tr>
      <w:tr w:rsidR="008F0937" w:rsidRPr="00230932" w14:paraId="474C2298" w14:textId="77777777" w:rsidTr="00684B2D">
        <w:trPr>
          <w:trHeight w:val="421"/>
        </w:trPr>
        <w:tc>
          <w:tcPr>
            <w:tcW w:w="2160" w:type="dxa"/>
            <w:tcBorders>
              <w:top w:val="single" w:sz="8" w:space="0" w:color="auto"/>
            </w:tcBorders>
            <w:shd w:val="clear" w:color="auto" w:fill="auto"/>
            <w:noWrap/>
            <w:vAlign w:val="bottom"/>
            <w:hideMark/>
          </w:tcPr>
          <w:p w14:paraId="692305A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0916R2X</w:t>
            </w:r>
          </w:p>
        </w:tc>
        <w:tc>
          <w:tcPr>
            <w:tcW w:w="2070" w:type="dxa"/>
            <w:tcBorders>
              <w:top w:val="single" w:sz="8" w:space="0" w:color="auto"/>
            </w:tcBorders>
            <w:shd w:val="clear" w:color="auto" w:fill="auto"/>
            <w:noWrap/>
            <w:vAlign w:val="bottom"/>
            <w:hideMark/>
          </w:tcPr>
          <w:p w14:paraId="7F9D0161"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Channel</w:t>
            </w:r>
          </w:p>
        </w:tc>
        <w:tc>
          <w:tcPr>
            <w:tcW w:w="1530" w:type="dxa"/>
            <w:tcBorders>
              <w:top w:val="single" w:sz="8" w:space="0" w:color="auto"/>
            </w:tcBorders>
            <w:shd w:val="clear" w:color="auto" w:fill="auto"/>
            <w:noWrap/>
            <w:vAlign w:val="bottom"/>
            <w:hideMark/>
          </w:tcPr>
          <w:p w14:paraId="454AD00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0.9</w:t>
            </w:r>
          </w:p>
        </w:tc>
        <w:tc>
          <w:tcPr>
            <w:tcW w:w="1170" w:type="dxa"/>
            <w:tcBorders>
              <w:top w:val="single" w:sz="8" w:space="0" w:color="auto"/>
            </w:tcBorders>
            <w:shd w:val="clear" w:color="auto" w:fill="auto"/>
            <w:noWrap/>
            <w:vAlign w:val="bottom"/>
            <w:hideMark/>
          </w:tcPr>
          <w:p w14:paraId="621BD564"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66.9</w:t>
            </w:r>
          </w:p>
        </w:tc>
        <w:tc>
          <w:tcPr>
            <w:tcW w:w="1530" w:type="dxa"/>
            <w:gridSpan w:val="2"/>
            <w:tcBorders>
              <w:top w:val="single" w:sz="8" w:space="0" w:color="auto"/>
            </w:tcBorders>
            <w:shd w:val="clear" w:color="auto" w:fill="auto"/>
            <w:noWrap/>
            <w:vAlign w:val="bottom"/>
            <w:hideMark/>
          </w:tcPr>
          <w:p w14:paraId="60D63B4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MS</w:t>
            </w:r>
          </w:p>
        </w:tc>
        <w:tc>
          <w:tcPr>
            <w:tcW w:w="1393" w:type="dxa"/>
            <w:gridSpan w:val="2"/>
            <w:tcBorders>
              <w:top w:val="single" w:sz="8" w:space="0" w:color="auto"/>
            </w:tcBorders>
            <w:shd w:val="clear" w:color="auto" w:fill="auto"/>
            <w:noWrap/>
            <w:vAlign w:val="bottom"/>
            <w:hideMark/>
          </w:tcPr>
          <w:p w14:paraId="15AD572F"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66.3</w:t>
            </w:r>
          </w:p>
        </w:tc>
        <w:tc>
          <w:tcPr>
            <w:tcW w:w="1278" w:type="dxa"/>
            <w:tcBorders>
              <w:top w:val="single" w:sz="8" w:space="0" w:color="auto"/>
            </w:tcBorders>
            <w:shd w:val="clear" w:color="auto" w:fill="auto"/>
            <w:noWrap/>
            <w:vAlign w:val="bottom"/>
            <w:hideMark/>
          </w:tcPr>
          <w:p w14:paraId="35F65C9F"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MS</w:t>
            </w:r>
          </w:p>
        </w:tc>
      </w:tr>
      <w:tr w:rsidR="008F0937" w:rsidRPr="00230932" w14:paraId="4F2359CC" w14:textId="77777777" w:rsidTr="00684B2D">
        <w:trPr>
          <w:trHeight w:val="421"/>
        </w:trPr>
        <w:tc>
          <w:tcPr>
            <w:tcW w:w="2160" w:type="dxa"/>
            <w:shd w:val="clear" w:color="auto" w:fill="auto"/>
            <w:noWrap/>
            <w:vAlign w:val="bottom"/>
            <w:hideMark/>
          </w:tcPr>
          <w:p w14:paraId="4ED7EB1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50-90</w:t>
            </w:r>
          </w:p>
        </w:tc>
        <w:tc>
          <w:tcPr>
            <w:tcW w:w="2070" w:type="dxa"/>
            <w:shd w:val="clear" w:color="auto" w:fill="auto"/>
            <w:noWrap/>
            <w:vAlign w:val="bottom"/>
            <w:hideMark/>
          </w:tcPr>
          <w:p w14:paraId="4C62FBAB" w14:textId="77777777" w:rsidR="008F0937" w:rsidRPr="00684B2D" w:rsidRDefault="008F0937" w:rsidP="008F0937">
            <w:pPr>
              <w:spacing w:after="0" w:line="240" w:lineRule="auto"/>
              <w:rPr>
                <w:rFonts w:eastAsia="Times New Roman"/>
                <w:color w:val="000000"/>
              </w:rPr>
            </w:pPr>
            <w:proofErr w:type="spellStart"/>
            <w:r w:rsidRPr="00684B2D">
              <w:rPr>
                <w:rFonts w:eastAsia="Times New Roman"/>
                <w:color w:val="000000"/>
              </w:rPr>
              <w:t>Proseed</w:t>
            </w:r>
            <w:proofErr w:type="spellEnd"/>
          </w:p>
        </w:tc>
        <w:tc>
          <w:tcPr>
            <w:tcW w:w="1530" w:type="dxa"/>
            <w:shd w:val="clear" w:color="auto" w:fill="auto"/>
            <w:noWrap/>
            <w:vAlign w:val="bottom"/>
            <w:hideMark/>
          </w:tcPr>
          <w:p w14:paraId="0C5DA3F2"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N/A</w:t>
            </w:r>
          </w:p>
        </w:tc>
        <w:tc>
          <w:tcPr>
            <w:tcW w:w="1170" w:type="dxa"/>
            <w:shd w:val="clear" w:color="auto" w:fill="auto"/>
            <w:noWrap/>
            <w:vAlign w:val="bottom"/>
            <w:hideMark/>
          </w:tcPr>
          <w:p w14:paraId="7F671FB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64.9</w:t>
            </w:r>
          </w:p>
        </w:tc>
        <w:tc>
          <w:tcPr>
            <w:tcW w:w="1530" w:type="dxa"/>
            <w:gridSpan w:val="2"/>
            <w:shd w:val="clear" w:color="auto" w:fill="auto"/>
            <w:noWrap/>
            <w:vAlign w:val="bottom"/>
            <w:hideMark/>
          </w:tcPr>
          <w:p w14:paraId="32381D5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MS</w:t>
            </w:r>
          </w:p>
        </w:tc>
        <w:tc>
          <w:tcPr>
            <w:tcW w:w="1393" w:type="dxa"/>
            <w:gridSpan w:val="2"/>
            <w:shd w:val="clear" w:color="auto" w:fill="auto"/>
            <w:noWrap/>
            <w:vAlign w:val="bottom"/>
            <w:hideMark/>
          </w:tcPr>
          <w:p w14:paraId="2DCABAF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73.7</w:t>
            </w:r>
          </w:p>
        </w:tc>
        <w:tc>
          <w:tcPr>
            <w:tcW w:w="1278" w:type="dxa"/>
            <w:shd w:val="clear" w:color="auto" w:fill="auto"/>
            <w:noWrap/>
            <w:vAlign w:val="bottom"/>
            <w:hideMark/>
          </w:tcPr>
          <w:p w14:paraId="55739B8D"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MS</w:t>
            </w:r>
          </w:p>
        </w:tc>
      </w:tr>
      <w:tr w:rsidR="008F0937" w:rsidRPr="00230932" w14:paraId="28CAAA3C" w14:textId="77777777" w:rsidTr="00684B2D">
        <w:trPr>
          <w:trHeight w:val="421"/>
        </w:trPr>
        <w:tc>
          <w:tcPr>
            <w:tcW w:w="2160" w:type="dxa"/>
            <w:shd w:val="clear" w:color="auto" w:fill="auto"/>
            <w:noWrap/>
            <w:vAlign w:val="bottom"/>
            <w:hideMark/>
          </w:tcPr>
          <w:p w14:paraId="1A38BE54"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50948N</w:t>
            </w:r>
          </w:p>
        </w:tc>
        <w:tc>
          <w:tcPr>
            <w:tcW w:w="2070" w:type="dxa"/>
            <w:shd w:val="clear" w:color="auto" w:fill="auto"/>
            <w:noWrap/>
            <w:vAlign w:val="bottom"/>
            <w:hideMark/>
          </w:tcPr>
          <w:p w14:paraId="0DEA607B"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Integra Seed</w:t>
            </w:r>
          </w:p>
        </w:tc>
        <w:tc>
          <w:tcPr>
            <w:tcW w:w="1530" w:type="dxa"/>
            <w:shd w:val="clear" w:color="auto" w:fill="auto"/>
            <w:noWrap/>
            <w:vAlign w:val="bottom"/>
            <w:hideMark/>
          </w:tcPr>
          <w:p w14:paraId="7383F87E"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0.9</w:t>
            </w:r>
          </w:p>
        </w:tc>
        <w:tc>
          <w:tcPr>
            <w:tcW w:w="1170" w:type="dxa"/>
            <w:shd w:val="clear" w:color="auto" w:fill="auto"/>
            <w:noWrap/>
            <w:vAlign w:val="bottom"/>
            <w:hideMark/>
          </w:tcPr>
          <w:p w14:paraId="28E0E140"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68.8</w:t>
            </w:r>
          </w:p>
        </w:tc>
        <w:tc>
          <w:tcPr>
            <w:tcW w:w="1530" w:type="dxa"/>
            <w:gridSpan w:val="2"/>
            <w:shd w:val="clear" w:color="auto" w:fill="auto"/>
            <w:noWrap/>
            <w:vAlign w:val="bottom"/>
            <w:hideMark/>
          </w:tcPr>
          <w:p w14:paraId="562E283E"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MS</w:t>
            </w:r>
          </w:p>
        </w:tc>
        <w:tc>
          <w:tcPr>
            <w:tcW w:w="1393" w:type="dxa"/>
            <w:gridSpan w:val="2"/>
            <w:shd w:val="clear" w:color="auto" w:fill="auto"/>
            <w:noWrap/>
            <w:vAlign w:val="bottom"/>
            <w:hideMark/>
          </w:tcPr>
          <w:p w14:paraId="43CAC41D"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75.8</w:t>
            </w:r>
          </w:p>
        </w:tc>
        <w:tc>
          <w:tcPr>
            <w:tcW w:w="1278" w:type="dxa"/>
            <w:shd w:val="clear" w:color="auto" w:fill="auto"/>
            <w:noWrap/>
            <w:vAlign w:val="bottom"/>
            <w:hideMark/>
          </w:tcPr>
          <w:p w14:paraId="54D27476"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5C12A114" w14:textId="77777777" w:rsidTr="00684B2D">
        <w:trPr>
          <w:trHeight w:val="421"/>
        </w:trPr>
        <w:tc>
          <w:tcPr>
            <w:tcW w:w="2160" w:type="dxa"/>
            <w:shd w:val="clear" w:color="auto" w:fill="auto"/>
            <w:noWrap/>
            <w:vAlign w:val="bottom"/>
            <w:hideMark/>
          </w:tcPr>
          <w:p w14:paraId="01F191B3"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Barnes</w:t>
            </w:r>
          </w:p>
        </w:tc>
        <w:tc>
          <w:tcPr>
            <w:tcW w:w="2070" w:type="dxa"/>
            <w:shd w:val="clear" w:color="auto" w:fill="auto"/>
            <w:noWrap/>
            <w:vAlign w:val="bottom"/>
            <w:hideMark/>
          </w:tcPr>
          <w:p w14:paraId="2B6F219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NDSU breeding</w:t>
            </w:r>
          </w:p>
        </w:tc>
        <w:tc>
          <w:tcPr>
            <w:tcW w:w="1530" w:type="dxa"/>
            <w:shd w:val="clear" w:color="auto" w:fill="auto"/>
            <w:noWrap/>
            <w:vAlign w:val="bottom"/>
            <w:hideMark/>
          </w:tcPr>
          <w:p w14:paraId="6168AC72"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0.3</w:t>
            </w:r>
          </w:p>
        </w:tc>
        <w:tc>
          <w:tcPr>
            <w:tcW w:w="1170" w:type="dxa"/>
            <w:shd w:val="clear" w:color="auto" w:fill="auto"/>
            <w:noWrap/>
            <w:vAlign w:val="bottom"/>
            <w:hideMark/>
          </w:tcPr>
          <w:p w14:paraId="07AC754C"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82.5</w:t>
            </w:r>
          </w:p>
        </w:tc>
        <w:tc>
          <w:tcPr>
            <w:tcW w:w="1530" w:type="dxa"/>
            <w:gridSpan w:val="2"/>
            <w:shd w:val="clear" w:color="auto" w:fill="auto"/>
            <w:noWrap/>
            <w:vAlign w:val="bottom"/>
            <w:hideMark/>
          </w:tcPr>
          <w:p w14:paraId="7E1C9CF4"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2ABE2D42"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94.7</w:t>
            </w:r>
          </w:p>
        </w:tc>
        <w:tc>
          <w:tcPr>
            <w:tcW w:w="1278" w:type="dxa"/>
            <w:shd w:val="clear" w:color="auto" w:fill="auto"/>
            <w:noWrap/>
            <w:vAlign w:val="bottom"/>
            <w:hideMark/>
          </w:tcPr>
          <w:p w14:paraId="5CDB171D"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2DFC6DC8" w14:textId="77777777" w:rsidTr="00684B2D">
        <w:trPr>
          <w:trHeight w:val="421"/>
        </w:trPr>
        <w:tc>
          <w:tcPr>
            <w:tcW w:w="2160" w:type="dxa"/>
            <w:shd w:val="clear" w:color="auto" w:fill="auto"/>
            <w:noWrap/>
            <w:vAlign w:val="bottom"/>
            <w:hideMark/>
          </w:tcPr>
          <w:p w14:paraId="51BA6B8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H06X7</w:t>
            </w:r>
          </w:p>
        </w:tc>
        <w:tc>
          <w:tcPr>
            <w:tcW w:w="2070" w:type="dxa"/>
            <w:shd w:val="clear" w:color="auto" w:fill="auto"/>
            <w:noWrap/>
            <w:vAlign w:val="bottom"/>
            <w:hideMark/>
          </w:tcPr>
          <w:p w14:paraId="77BC367D"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Hefty Seed</w:t>
            </w:r>
          </w:p>
        </w:tc>
        <w:tc>
          <w:tcPr>
            <w:tcW w:w="1530" w:type="dxa"/>
            <w:shd w:val="clear" w:color="auto" w:fill="auto"/>
            <w:noWrap/>
            <w:vAlign w:val="bottom"/>
            <w:hideMark/>
          </w:tcPr>
          <w:p w14:paraId="0A8363CE"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0.6</w:t>
            </w:r>
          </w:p>
        </w:tc>
        <w:tc>
          <w:tcPr>
            <w:tcW w:w="1170" w:type="dxa"/>
            <w:shd w:val="clear" w:color="auto" w:fill="auto"/>
            <w:noWrap/>
            <w:vAlign w:val="bottom"/>
            <w:hideMark/>
          </w:tcPr>
          <w:p w14:paraId="6D989C3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85.1</w:t>
            </w:r>
          </w:p>
        </w:tc>
        <w:tc>
          <w:tcPr>
            <w:tcW w:w="1530" w:type="dxa"/>
            <w:gridSpan w:val="2"/>
            <w:shd w:val="clear" w:color="auto" w:fill="auto"/>
            <w:noWrap/>
            <w:vAlign w:val="bottom"/>
            <w:hideMark/>
          </w:tcPr>
          <w:p w14:paraId="12ACF326"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0FF8A94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82.1</w:t>
            </w:r>
          </w:p>
        </w:tc>
        <w:tc>
          <w:tcPr>
            <w:tcW w:w="1278" w:type="dxa"/>
            <w:shd w:val="clear" w:color="auto" w:fill="auto"/>
            <w:noWrap/>
            <w:vAlign w:val="bottom"/>
            <w:hideMark/>
          </w:tcPr>
          <w:p w14:paraId="51831D00"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17E46420" w14:textId="77777777" w:rsidTr="00684B2D">
        <w:trPr>
          <w:trHeight w:val="421"/>
        </w:trPr>
        <w:tc>
          <w:tcPr>
            <w:tcW w:w="2160" w:type="dxa"/>
            <w:shd w:val="clear" w:color="auto" w:fill="auto"/>
            <w:noWrap/>
            <w:vAlign w:val="bottom"/>
            <w:hideMark/>
          </w:tcPr>
          <w:p w14:paraId="480C50E5"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LS-1138NRR2X</w:t>
            </w:r>
          </w:p>
        </w:tc>
        <w:tc>
          <w:tcPr>
            <w:tcW w:w="2070" w:type="dxa"/>
            <w:shd w:val="clear" w:color="auto" w:fill="auto"/>
            <w:noWrap/>
            <w:vAlign w:val="bottom"/>
            <w:hideMark/>
          </w:tcPr>
          <w:p w14:paraId="1B8846B9"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Legacy Seed</w:t>
            </w:r>
          </w:p>
        </w:tc>
        <w:tc>
          <w:tcPr>
            <w:tcW w:w="1530" w:type="dxa"/>
            <w:shd w:val="clear" w:color="auto" w:fill="auto"/>
            <w:noWrap/>
            <w:vAlign w:val="bottom"/>
            <w:hideMark/>
          </w:tcPr>
          <w:p w14:paraId="560DDF67"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1.1</w:t>
            </w:r>
          </w:p>
        </w:tc>
        <w:tc>
          <w:tcPr>
            <w:tcW w:w="1170" w:type="dxa"/>
            <w:shd w:val="clear" w:color="auto" w:fill="auto"/>
            <w:noWrap/>
            <w:vAlign w:val="bottom"/>
            <w:hideMark/>
          </w:tcPr>
          <w:p w14:paraId="6D40551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79.9</w:t>
            </w:r>
          </w:p>
        </w:tc>
        <w:tc>
          <w:tcPr>
            <w:tcW w:w="1530" w:type="dxa"/>
            <w:gridSpan w:val="2"/>
            <w:shd w:val="clear" w:color="auto" w:fill="auto"/>
            <w:noWrap/>
            <w:vAlign w:val="bottom"/>
            <w:hideMark/>
          </w:tcPr>
          <w:p w14:paraId="580D826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194FF5CC"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83.2</w:t>
            </w:r>
          </w:p>
        </w:tc>
        <w:tc>
          <w:tcPr>
            <w:tcW w:w="1278" w:type="dxa"/>
            <w:shd w:val="clear" w:color="auto" w:fill="auto"/>
            <w:noWrap/>
            <w:vAlign w:val="bottom"/>
            <w:hideMark/>
          </w:tcPr>
          <w:p w14:paraId="2B9540D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310CAB84" w14:textId="77777777" w:rsidTr="00684B2D">
        <w:trPr>
          <w:trHeight w:val="421"/>
        </w:trPr>
        <w:tc>
          <w:tcPr>
            <w:tcW w:w="2160" w:type="dxa"/>
            <w:shd w:val="clear" w:color="auto" w:fill="auto"/>
            <w:noWrap/>
            <w:vAlign w:val="bottom"/>
            <w:hideMark/>
          </w:tcPr>
          <w:p w14:paraId="2FE1DD11"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ND Benson</w:t>
            </w:r>
          </w:p>
        </w:tc>
        <w:tc>
          <w:tcPr>
            <w:tcW w:w="2070" w:type="dxa"/>
            <w:shd w:val="clear" w:color="auto" w:fill="auto"/>
            <w:noWrap/>
            <w:vAlign w:val="bottom"/>
            <w:hideMark/>
          </w:tcPr>
          <w:p w14:paraId="06EAACEC"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NDSU breeding</w:t>
            </w:r>
          </w:p>
        </w:tc>
        <w:tc>
          <w:tcPr>
            <w:tcW w:w="1530" w:type="dxa"/>
            <w:shd w:val="clear" w:color="auto" w:fill="auto"/>
            <w:noWrap/>
            <w:vAlign w:val="bottom"/>
            <w:hideMark/>
          </w:tcPr>
          <w:p w14:paraId="73F881BE"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0.4</w:t>
            </w:r>
          </w:p>
        </w:tc>
        <w:tc>
          <w:tcPr>
            <w:tcW w:w="1170" w:type="dxa"/>
            <w:shd w:val="clear" w:color="auto" w:fill="auto"/>
            <w:noWrap/>
            <w:vAlign w:val="bottom"/>
            <w:hideMark/>
          </w:tcPr>
          <w:p w14:paraId="1F965614"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92.5</w:t>
            </w:r>
          </w:p>
        </w:tc>
        <w:tc>
          <w:tcPr>
            <w:tcW w:w="1530" w:type="dxa"/>
            <w:gridSpan w:val="2"/>
            <w:shd w:val="clear" w:color="auto" w:fill="auto"/>
            <w:noWrap/>
            <w:vAlign w:val="bottom"/>
            <w:hideMark/>
          </w:tcPr>
          <w:p w14:paraId="6571011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3B431E8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98.7</w:t>
            </w:r>
          </w:p>
        </w:tc>
        <w:tc>
          <w:tcPr>
            <w:tcW w:w="1278" w:type="dxa"/>
            <w:shd w:val="clear" w:color="auto" w:fill="auto"/>
            <w:noWrap/>
            <w:vAlign w:val="bottom"/>
            <w:hideMark/>
          </w:tcPr>
          <w:p w14:paraId="18F6043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286997FB" w14:textId="77777777" w:rsidTr="00684B2D">
        <w:trPr>
          <w:trHeight w:val="421"/>
        </w:trPr>
        <w:tc>
          <w:tcPr>
            <w:tcW w:w="2160" w:type="dxa"/>
            <w:shd w:val="clear" w:color="auto" w:fill="auto"/>
            <w:noWrap/>
            <w:vAlign w:val="bottom"/>
            <w:hideMark/>
          </w:tcPr>
          <w:p w14:paraId="4E1CB241"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ND Stutsman</w:t>
            </w:r>
          </w:p>
        </w:tc>
        <w:tc>
          <w:tcPr>
            <w:tcW w:w="2070" w:type="dxa"/>
            <w:shd w:val="clear" w:color="auto" w:fill="auto"/>
            <w:noWrap/>
            <w:vAlign w:val="bottom"/>
            <w:hideMark/>
          </w:tcPr>
          <w:p w14:paraId="3DEF5682"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NDSU breeding</w:t>
            </w:r>
          </w:p>
        </w:tc>
        <w:tc>
          <w:tcPr>
            <w:tcW w:w="1530" w:type="dxa"/>
            <w:shd w:val="clear" w:color="auto" w:fill="auto"/>
            <w:noWrap/>
            <w:vAlign w:val="bottom"/>
            <w:hideMark/>
          </w:tcPr>
          <w:p w14:paraId="21D68C7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0.7</w:t>
            </w:r>
          </w:p>
        </w:tc>
        <w:tc>
          <w:tcPr>
            <w:tcW w:w="1170" w:type="dxa"/>
            <w:shd w:val="clear" w:color="auto" w:fill="auto"/>
            <w:noWrap/>
            <w:vAlign w:val="bottom"/>
            <w:hideMark/>
          </w:tcPr>
          <w:p w14:paraId="3ED7D03B"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84.5</w:t>
            </w:r>
          </w:p>
        </w:tc>
        <w:tc>
          <w:tcPr>
            <w:tcW w:w="1530" w:type="dxa"/>
            <w:gridSpan w:val="2"/>
            <w:shd w:val="clear" w:color="auto" w:fill="auto"/>
            <w:noWrap/>
            <w:vAlign w:val="bottom"/>
            <w:hideMark/>
          </w:tcPr>
          <w:p w14:paraId="785C2BD7"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030AD118"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96.8</w:t>
            </w:r>
          </w:p>
        </w:tc>
        <w:tc>
          <w:tcPr>
            <w:tcW w:w="1278" w:type="dxa"/>
            <w:shd w:val="clear" w:color="auto" w:fill="auto"/>
            <w:noWrap/>
            <w:vAlign w:val="bottom"/>
            <w:hideMark/>
          </w:tcPr>
          <w:p w14:paraId="51042E1B"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4CEA5E07" w14:textId="77777777" w:rsidTr="00684B2D">
        <w:trPr>
          <w:trHeight w:val="421"/>
        </w:trPr>
        <w:tc>
          <w:tcPr>
            <w:tcW w:w="2160" w:type="dxa"/>
            <w:shd w:val="clear" w:color="auto" w:fill="auto"/>
            <w:noWrap/>
            <w:vAlign w:val="bottom"/>
            <w:hideMark/>
          </w:tcPr>
          <w:p w14:paraId="75F83E50"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NS 1492NR2</w:t>
            </w:r>
          </w:p>
        </w:tc>
        <w:tc>
          <w:tcPr>
            <w:tcW w:w="2070" w:type="dxa"/>
            <w:shd w:val="clear" w:color="auto" w:fill="auto"/>
            <w:noWrap/>
            <w:vAlign w:val="bottom"/>
            <w:hideMark/>
          </w:tcPr>
          <w:p w14:paraId="4F7B83DD"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NorthStar Genetics</w:t>
            </w:r>
          </w:p>
        </w:tc>
        <w:tc>
          <w:tcPr>
            <w:tcW w:w="1530" w:type="dxa"/>
            <w:shd w:val="clear" w:color="auto" w:fill="auto"/>
            <w:noWrap/>
            <w:vAlign w:val="bottom"/>
            <w:hideMark/>
          </w:tcPr>
          <w:p w14:paraId="507E986A"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1.4</w:t>
            </w:r>
          </w:p>
        </w:tc>
        <w:tc>
          <w:tcPr>
            <w:tcW w:w="1170" w:type="dxa"/>
            <w:shd w:val="clear" w:color="auto" w:fill="auto"/>
            <w:noWrap/>
            <w:vAlign w:val="bottom"/>
            <w:hideMark/>
          </w:tcPr>
          <w:p w14:paraId="23AA004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110.1</w:t>
            </w:r>
          </w:p>
        </w:tc>
        <w:tc>
          <w:tcPr>
            <w:tcW w:w="1530" w:type="dxa"/>
            <w:gridSpan w:val="2"/>
            <w:shd w:val="clear" w:color="auto" w:fill="auto"/>
            <w:noWrap/>
            <w:vAlign w:val="bottom"/>
            <w:hideMark/>
          </w:tcPr>
          <w:p w14:paraId="4BD8D77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58CDE05E"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92.1</w:t>
            </w:r>
          </w:p>
        </w:tc>
        <w:tc>
          <w:tcPr>
            <w:tcW w:w="1278" w:type="dxa"/>
            <w:shd w:val="clear" w:color="auto" w:fill="auto"/>
            <w:noWrap/>
            <w:vAlign w:val="bottom"/>
            <w:hideMark/>
          </w:tcPr>
          <w:p w14:paraId="6D25599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677931FC" w14:textId="77777777" w:rsidTr="00684B2D">
        <w:trPr>
          <w:trHeight w:val="421"/>
        </w:trPr>
        <w:tc>
          <w:tcPr>
            <w:tcW w:w="2160" w:type="dxa"/>
            <w:shd w:val="clear" w:color="auto" w:fill="auto"/>
            <w:noWrap/>
            <w:vAlign w:val="bottom"/>
            <w:hideMark/>
          </w:tcPr>
          <w:p w14:paraId="562615AC"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NS 1911NR2</w:t>
            </w:r>
          </w:p>
        </w:tc>
        <w:tc>
          <w:tcPr>
            <w:tcW w:w="2070" w:type="dxa"/>
            <w:shd w:val="clear" w:color="auto" w:fill="auto"/>
            <w:noWrap/>
            <w:vAlign w:val="bottom"/>
            <w:hideMark/>
          </w:tcPr>
          <w:p w14:paraId="0E1A4D3E"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NorthStar Genetics</w:t>
            </w:r>
          </w:p>
        </w:tc>
        <w:tc>
          <w:tcPr>
            <w:tcW w:w="1530" w:type="dxa"/>
            <w:shd w:val="clear" w:color="auto" w:fill="auto"/>
            <w:noWrap/>
            <w:vAlign w:val="bottom"/>
            <w:hideMark/>
          </w:tcPr>
          <w:p w14:paraId="2211EA4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1.9</w:t>
            </w:r>
          </w:p>
        </w:tc>
        <w:tc>
          <w:tcPr>
            <w:tcW w:w="1170" w:type="dxa"/>
            <w:shd w:val="clear" w:color="auto" w:fill="auto"/>
            <w:noWrap/>
            <w:vAlign w:val="bottom"/>
            <w:hideMark/>
          </w:tcPr>
          <w:p w14:paraId="2454E2A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100.0</w:t>
            </w:r>
          </w:p>
        </w:tc>
        <w:tc>
          <w:tcPr>
            <w:tcW w:w="1530" w:type="dxa"/>
            <w:gridSpan w:val="2"/>
            <w:shd w:val="clear" w:color="auto" w:fill="auto"/>
            <w:noWrap/>
            <w:vAlign w:val="bottom"/>
            <w:hideMark/>
          </w:tcPr>
          <w:p w14:paraId="67882A76"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6DD1CC21"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100.0</w:t>
            </w:r>
          </w:p>
        </w:tc>
        <w:tc>
          <w:tcPr>
            <w:tcW w:w="1278" w:type="dxa"/>
            <w:shd w:val="clear" w:color="auto" w:fill="auto"/>
            <w:noWrap/>
            <w:vAlign w:val="bottom"/>
            <w:hideMark/>
          </w:tcPr>
          <w:p w14:paraId="2490F0F8"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4ABDBEFD" w14:textId="77777777" w:rsidTr="00684B2D">
        <w:trPr>
          <w:trHeight w:val="421"/>
        </w:trPr>
        <w:tc>
          <w:tcPr>
            <w:tcW w:w="2160" w:type="dxa"/>
            <w:shd w:val="clear" w:color="auto" w:fill="auto"/>
            <w:noWrap/>
            <w:vAlign w:val="bottom"/>
            <w:hideMark/>
          </w:tcPr>
          <w:p w14:paraId="2F7F6CDC"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NS 61624NXR2</w:t>
            </w:r>
          </w:p>
        </w:tc>
        <w:tc>
          <w:tcPr>
            <w:tcW w:w="2070" w:type="dxa"/>
            <w:shd w:val="clear" w:color="auto" w:fill="auto"/>
            <w:noWrap/>
            <w:vAlign w:val="bottom"/>
            <w:hideMark/>
          </w:tcPr>
          <w:p w14:paraId="4680055E"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NorthStar Genetics</w:t>
            </w:r>
          </w:p>
        </w:tc>
        <w:tc>
          <w:tcPr>
            <w:tcW w:w="1530" w:type="dxa"/>
            <w:shd w:val="clear" w:color="auto" w:fill="auto"/>
            <w:noWrap/>
            <w:vAlign w:val="bottom"/>
            <w:hideMark/>
          </w:tcPr>
          <w:p w14:paraId="385AD1FF"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1.6</w:t>
            </w:r>
          </w:p>
        </w:tc>
        <w:tc>
          <w:tcPr>
            <w:tcW w:w="1170" w:type="dxa"/>
            <w:shd w:val="clear" w:color="auto" w:fill="auto"/>
            <w:noWrap/>
            <w:vAlign w:val="bottom"/>
            <w:hideMark/>
          </w:tcPr>
          <w:p w14:paraId="0F36FE3A"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139.0</w:t>
            </w:r>
          </w:p>
        </w:tc>
        <w:tc>
          <w:tcPr>
            <w:tcW w:w="1530" w:type="dxa"/>
            <w:gridSpan w:val="2"/>
            <w:shd w:val="clear" w:color="auto" w:fill="auto"/>
            <w:noWrap/>
            <w:vAlign w:val="bottom"/>
            <w:hideMark/>
          </w:tcPr>
          <w:p w14:paraId="4BC3C1B3"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2FEAC692"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96.8</w:t>
            </w:r>
          </w:p>
        </w:tc>
        <w:tc>
          <w:tcPr>
            <w:tcW w:w="1278" w:type="dxa"/>
            <w:shd w:val="clear" w:color="auto" w:fill="auto"/>
            <w:noWrap/>
            <w:vAlign w:val="bottom"/>
            <w:hideMark/>
          </w:tcPr>
          <w:p w14:paraId="5CD0A102"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7AF0C786" w14:textId="77777777" w:rsidTr="00684B2D">
        <w:trPr>
          <w:trHeight w:val="421"/>
        </w:trPr>
        <w:tc>
          <w:tcPr>
            <w:tcW w:w="2160" w:type="dxa"/>
            <w:shd w:val="clear" w:color="auto" w:fill="auto"/>
            <w:noWrap/>
            <w:vAlign w:val="bottom"/>
            <w:hideMark/>
          </w:tcPr>
          <w:p w14:paraId="6C54D403"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SB-8807N</w:t>
            </w:r>
          </w:p>
        </w:tc>
        <w:tc>
          <w:tcPr>
            <w:tcW w:w="2070" w:type="dxa"/>
            <w:shd w:val="clear" w:color="auto" w:fill="auto"/>
            <w:noWrap/>
            <w:vAlign w:val="bottom"/>
            <w:hideMark/>
          </w:tcPr>
          <w:p w14:paraId="0D566AB5"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Thunder seed</w:t>
            </w:r>
          </w:p>
        </w:tc>
        <w:tc>
          <w:tcPr>
            <w:tcW w:w="1530" w:type="dxa"/>
            <w:shd w:val="clear" w:color="auto" w:fill="auto"/>
            <w:noWrap/>
            <w:vAlign w:val="bottom"/>
            <w:hideMark/>
          </w:tcPr>
          <w:p w14:paraId="47485FB8"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0.7</w:t>
            </w:r>
          </w:p>
        </w:tc>
        <w:tc>
          <w:tcPr>
            <w:tcW w:w="1170" w:type="dxa"/>
            <w:shd w:val="clear" w:color="auto" w:fill="auto"/>
            <w:noWrap/>
            <w:vAlign w:val="bottom"/>
            <w:hideMark/>
          </w:tcPr>
          <w:p w14:paraId="3E8CF800"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87.8</w:t>
            </w:r>
          </w:p>
        </w:tc>
        <w:tc>
          <w:tcPr>
            <w:tcW w:w="1530" w:type="dxa"/>
            <w:gridSpan w:val="2"/>
            <w:shd w:val="clear" w:color="auto" w:fill="auto"/>
            <w:noWrap/>
            <w:vAlign w:val="bottom"/>
            <w:hideMark/>
          </w:tcPr>
          <w:p w14:paraId="4112EFE4"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c>
          <w:tcPr>
            <w:tcW w:w="1393" w:type="dxa"/>
            <w:gridSpan w:val="2"/>
            <w:shd w:val="clear" w:color="auto" w:fill="auto"/>
            <w:noWrap/>
            <w:vAlign w:val="bottom"/>
            <w:hideMark/>
          </w:tcPr>
          <w:p w14:paraId="0E89DA25"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94.7</w:t>
            </w:r>
          </w:p>
        </w:tc>
        <w:tc>
          <w:tcPr>
            <w:tcW w:w="1278" w:type="dxa"/>
            <w:shd w:val="clear" w:color="auto" w:fill="auto"/>
            <w:noWrap/>
            <w:vAlign w:val="bottom"/>
            <w:hideMark/>
          </w:tcPr>
          <w:p w14:paraId="59826886"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S</w:t>
            </w:r>
          </w:p>
        </w:tc>
      </w:tr>
      <w:tr w:rsidR="008F0937" w:rsidRPr="00230932" w14:paraId="71019C39" w14:textId="77777777" w:rsidTr="00684B2D">
        <w:trPr>
          <w:trHeight w:val="421"/>
        </w:trPr>
        <w:tc>
          <w:tcPr>
            <w:tcW w:w="2160" w:type="dxa"/>
            <w:tcBorders>
              <w:bottom w:val="single" w:sz="8" w:space="0" w:color="auto"/>
            </w:tcBorders>
            <w:shd w:val="clear" w:color="auto" w:fill="auto"/>
            <w:noWrap/>
            <w:vAlign w:val="bottom"/>
            <w:hideMark/>
          </w:tcPr>
          <w:p w14:paraId="022360A3" w14:textId="77777777" w:rsidR="008F0937" w:rsidRPr="00684B2D" w:rsidRDefault="008F0937" w:rsidP="008F0937">
            <w:pPr>
              <w:spacing w:after="0" w:line="240" w:lineRule="auto"/>
              <w:rPr>
                <w:rFonts w:eastAsia="Times New Roman"/>
                <w:color w:val="000000"/>
              </w:rPr>
            </w:pPr>
            <w:r w:rsidRPr="00684B2D">
              <w:rPr>
                <w:rFonts w:eastAsia="Times New Roman"/>
                <w:color w:val="000000"/>
              </w:rPr>
              <w:t>Non-planted control</w:t>
            </w:r>
          </w:p>
        </w:tc>
        <w:tc>
          <w:tcPr>
            <w:tcW w:w="2070" w:type="dxa"/>
            <w:tcBorders>
              <w:bottom w:val="single" w:sz="8" w:space="0" w:color="auto"/>
            </w:tcBorders>
            <w:shd w:val="clear" w:color="auto" w:fill="auto"/>
            <w:vAlign w:val="bottom"/>
          </w:tcPr>
          <w:p w14:paraId="223EF18F" w14:textId="77777777" w:rsidR="008F0937" w:rsidRPr="00684B2D" w:rsidRDefault="008F0937" w:rsidP="008F0937">
            <w:pPr>
              <w:spacing w:after="0" w:line="240" w:lineRule="auto"/>
              <w:rPr>
                <w:rFonts w:eastAsia="Times New Roman"/>
                <w:color w:val="000000"/>
              </w:rPr>
            </w:pPr>
          </w:p>
        </w:tc>
        <w:tc>
          <w:tcPr>
            <w:tcW w:w="1530" w:type="dxa"/>
            <w:tcBorders>
              <w:bottom w:val="single" w:sz="8" w:space="0" w:color="auto"/>
            </w:tcBorders>
            <w:shd w:val="clear" w:color="auto" w:fill="auto"/>
            <w:noWrap/>
            <w:vAlign w:val="bottom"/>
            <w:hideMark/>
          </w:tcPr>
          <w:p w14:paraId="63C5B219"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w:t>
            </w:r>
          </w:p>
        </w:tc>
        <w:tc>
          <w:tcPr>
            <w:tcW w:w="1170" w:type="dxa"/>
            <w:tcBorders>
              <w:bottom w:val="single" w:sz="8" w:space="0" w:color="auto"/>
            </w:tcBorders>
            <w:shd w:val="clear" w:color="auto" w:fill="auto"/>
            <w:noWrap/>
            <w:vAlign w:val="bottom"/>
            <w:hideMark/>
          </w:tcPr>
          <w:p w14:paraId="324E4DF0"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29.1</w:t>
            </w:r>
          </w:p>
        </w:tc>
        <w:tc>
          <w:tcPr>
            <w:tcW w:w="1530" w:type="dxa"/>
            <w:gridSpan w:val="2"/>
            <w:tcBorders>
              <w:bottom w:val="single" w:sz="8" w:space="0" w:color="auto"/>
            </w:tcBorders>
            <w:shd w:val="clear" w:color="auto" w:fill="auto"/>
            <w:noWrap/>
            <w:vAlign w:val="bottom"/>
            <w:hideMark/>
          </w:tcPr>
          <w:p w14:paraId="0110B666"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w:t>
            </w:r>
          </w:p>
        </w:tc>
        <w:tc>
          <w:tcPr>
            <w:tcW w:w="1393" w:type="dxa"/>
            <w:gridSpan w:val="2"/>
            <w:tcBorders>
              <w:bottom w:val="single" w:sz="8" w:space="0" w:color="auto"/>
            </w:tcBorders>
            <w:shd w:val="clear" w:color="auto" w:fill="auto"/>
            <w:noWrap/>
            <w:vAlign w:val="bottom"/>
            <w:hideMark/>
          </w:tcPr>
          <w:p w14:paraId="79322218"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24.2</w:t>
            </w:r>
          </w:p>
        </w:tc>
        <w:tc>
          <w:tcPr>
            <w:tcW w:w="1278" w:type="dxa"/>
            <w:tcBorders>
              <w:bottom w:val="single" w:sz="8" w:space="0" w:color="auto"/>
            </w:tcBorders>
            <w:shd w:val="clear" w:color="auto" w:fill="auto"/>
            <w:noWrap/>
            <w:vAlign w:val="bottom"/>
            <w:hideMark/>
          </w:tcPr>
          <w:p w14:paraId="1352F805" w14:textId="77777777" w:rsidR="008F0937" w:rsidRPr="00684B2D" w:rsidRDefault="008F0937" w:rsidP="008F0937">
            <w:pPr>
              <w:spacing w:after="0" w:line="240" w:lineRule="auto"/>
              <w:jc w:val="center"/>
              <w:rPr>
                <w:rFonts w:eastAsia="Times New Roman"/>
                <w:color w:val="000000"/>
              </w:rPr>
            </w:pPr>
            <w:r w:rsidRPr="00684B2D">
              <w:rPr>
                <w:rFonts w:eastAsia="Times New Roman"/>
                <w:color w:val="000000"/>
              </w:rPr>
              <w:t>-</w:t>
            </w:r>
          </w:p>
        </w:tc>
      </w:tr>
    </w:tbl>
    <w:p w14:paraId="65D330B0" w14:textId="77777777" w:rsidR="008F0937" w:rsidRDefault="008F0937" w:rsidP="008F0937">
      <w:pPr>
        <w:rPr>
          <w:sz w:val="22"/>
        </w:rPr>
      </w:pPr>
      <w:r>
        <w:t>**</w:t>
      </w:r>
      <w:r w:rsidRPr="00C30B04">
        <w:rPr>
          <w:sz w:val="22"/>
        </w:rPr>
        <w:t xml:space="preserve"> </w:t>
      </w:r>
      <w:r w:rsidRPr="009859F7">
        <w:rPr>
          <w:sz w:val="22"/>
        </w:rPr>
        <w:t xml:space="preserve">Ratio of </w:t>
      </w:r>
      <w:r>
        <w:rPr>
          <w:sz w:val="22"/>
        </w:rPr>
        <w:t xml:space="preserve">postharvest </w:t>
      </w:r>
      <w:r w:rsidRPr="009859F7">
        <w:rPr>
          <w:sz w:val="22"/>
        </w:rPr>
        <w:t xml:space="preserve">population densities (%) = (postharvest population density in a test line/ postharvest population density of the susceptible check) </w:t>
      </w:r>
      <w:r w:rsidR="00684B2D">
        <w:rPr>
          <w:sz w:val="22"/>
        </w:rPr>
        <w:t>x</w:t>
      </w:r>
      <w:r w:rsidRPr="009859F7">
        <w:rPr>
          <w:sz w:val="22"/>
        </w:rPr>
        <w:t xml:space="preserve"> 100. The ratio for each cultivar and the non-planted </w:t>
      </w:r>
      <w:r w:rsidRPr="009859F7">
        <w:rPr>
          <w:bCs/>
          <w:sz w:val="22"/>
        </w:rPr>
        <w:t>control was then averaged across the five replicates.</w:t>
      </w:r>
      <w:r>
        <w:rPr>
          <w:bCs/>
          <w:sz w:val="22"/>
        </w:rPr>
        <w:t xml:space="preserve"> </w:t>
      </w:r>
      <w:r w:rsidRPr="009859F7">
        <w:rPr>
          <w:sz w:val="22"/>
        </w:rPr>
        <w:t xml:space="preserve">The </w:t>
      </w:r>
      <w:r w:rsidR="00684B2D">
        <w:rPr>
          <w:sz w:val="22"/>
        </w:rPr>
        <w:t xml:space="preserve">rating </w:t>
      </w:r>
      <w:r w:rsidRPr="009859F7">
        <w:rPr>
          <w:sz w:val="22"/>
        </w:rPr>
        <w:t xml:space="preserve">was categorized based on the ratio: Resistant = R (postharvest population density </w:t>
      </w:r>
      <w:r>
        <w:rPr>
          <w:sz w:val="22"/>
        </w:rPr>
        <w:t>≤</w:t>
      </w:r>
      <w:r w:rsidRPr="009859F7">
        <w:rPr>
          <w:sz w:val="22"/>
        </w:rPr>
        <w:t xml:space="preserve"> 25 % of the susceptible check</w:t>
      </w:r>
      <w:r w:rsidR="0085623D">
        <w:rPr>
          <w:sz w:val="22"/>
        </w:rPr>
        <w:t>)</w:t>
      </w:r>
      <w:r w:rsidRPr="009859F7">
        <w:rPr>
          <w:sz w:val="22"/>
        </w:rPr>
        <w:t xml:space="preserve">, Moderately </w:t>
      </w:r>
      <w:r>
        <w:rPr>
          <w:sz w:val="22"/>
        </w:rPr>
        <w:t>R</w:t>
      </w:r>
      <w:r w:rsidRPr="009859F7">
        <w:rPr>
          <w:sz w:val="22"/>
        </w:rPr>
        <w:t xml:space="preserve">esistant = MR (26-50 %), Moderately </w:t>
      </w:r>
      <w:r>
        <w:rPr>
          <w:sz w:val="22"/>
        </w:rPr>
        <w:t>S</w:t>
      </w:r>
      <w:r w:rsidRPr="009859F7">
        <w:rPr>
          <w:sz w:val="22"/>
        </w:rPr>
        <w:t>usceptible = MS (51-75 %), and Susceptible = S (≥ 76 %).</w:t>
      </w:r>
    </w:p>
    <w:p w14:paraId="71FFC50C" w14:textId="77777777" w:rsidR="00446BF4" w:rsidRPr="005C039D" w:rsidRDefault="00446BF4" w:rsidP="008F0937"/>
    <w:p w14:paraId="7C3759E3" w14:textId="77777777" w:rsidR="008F0937" w:rsidRPr="005C039D" w:rsidRDefault="00446BF4" w:rsidP="008F0937">
      <w:r>
        <w:rPr>
          <w:noProof/>
        </w:rPr>
        <w:drawing>
          <wp:inline distT="0" distB="0" distL="0" distR="0" wp14:anchorId="5C80098E" wp14:editId="36FB8093">
            <wp:extent cx="5162550" cy="1895475"/>
            <wp:effectExtent l="0" t="0" r="0" b="9525"/>
            <wp:docPr id="2" name="Chart 2">
              <a:extLst xmlns:a="http://schemas.openxmlformats.org/drawingml/2006/main">
                <a:ext uri="{FF2B5EF4-FFF2-40B4-BE49-F238E27FC236}">
                  <a16:creationId xmlns:a16="http://schemas.microsoft.com/office/drawing/2014/main" id="{F7F72A01-4330-4ACE-8361-B29D749B8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805578" w14:textId="040B6CEC" w:rsidR="008F0937" w:rsidRPr="005C039D" w:rsidRDefault="008F0937" w:rsidP="008F0937">
      <w:r w:rsidRPr="0094778D">
        <w:t xml:space="preserve">Figure </w:t>
      </w:r>
      <w:r>
        <w:t>1</w:t>
      </w:r>
      <w:r w:rsidRPr="0094778D">
        <w:t xml:space="preserve">. </w:t>
      </w:r>
      <w:bookmarkStart w:id="1" w:name="_Hlk75623577"/>
      <w:r w:rsidRPr="0094778D">
        <w:t xml:space="preserve">Classification of the resistance responses of </w:t>
      </w:r>
      <w:r>
        <w:t xml:space="preserve">ten </w:t>
      </w:r>
      <w:r w:rsidRPr="0094778D">
        <w:t xml:space="preserve">soybean cultivars to </w:t>
      </w:r>
      <w:r>
        <w:t xml:space="preserve">the </w:t>
      </w:r>
      <w:r w:rsidR="00446BF4">
        <w:t xml:space="preserve">new </w:t>
      </w:r>
      <w:r>
        <w:t xml:space="preserve">root-lesion nematode species </w:t>
      </w:r>
      <w:r w:rsidR="00446BF4">
        <w:t>(</w:t>
      </w:r>
      <w:proofErr w:type="spellStart"/>
      <w:r w:rsidR="00F26700" w:rsidRPr="00D96ED2">
        <w:rPr>
          <w:i/>
        </w:rPr>
        <w:t>Pratylenchus</w:t>
      </w:r>
      <w:proofErr w:type="spellEnd"/>
      <w:r>
        <w:rPr>
          <w:i/>
        </w:rPr>
        <w:t xml:space="preserve"> dakotaensis</w:t>
      </w:r>
      <w:r w:rsidR="00446BF4">
        <w:t>)</w:t>
      </w:r>
      <w:r w:rsidR="00446BF4">
        <w:rPr>
          <w:i/>
        </w:rPr>
        <w:t xml:space="preserve"> </w:t>
      </w:r>
      <w:r w:rsidR="00446BF4">
        <w:t>based on the two trials</w:t>
      </w:r>
      <w:bookmarkEnd w:id="1"/>
      <w:r w:rsidRPr="0094778D">
        <w:t>.</w:t>
      </w:r>
      <w:r>
        <w:t xml:space="preserve"> </w:t>
      </w:r>
    </w:p>
    <w:p w14:paraId="405BCE1C" w14:textId="77777777" w:rsidR="008F0937" w:rsidRPr="005C039D" w:rsidRDefault="00E75888" w:rsidP="008F0937">
      <w:r>
        <w:rPr>
          <w:noProof/>
        </w:rPr>
        <w:lastRenderedPageBreak/>
        <mc:AlternateContent>
          <mc:Choice Requires="wps">
            <w:drawing>
              <wp:anchor distT="45720" distB="45720" distL="114300" distR="114300" simplePos="0" relativeHeight="251663360" behindDoc="0" locked="0" layoutInCell="1" allowOverlap="1" wp14:anchorId="69806822" wp14:editId="7E27CD4B">
                <wp:simplePos x="0" y="0"/>
                <wp:positionH relativeFrom="column">
                  <wp:posOffset>-142875</wp:posOffset>
                </wp:positionH>
                <wp:positionV relativeFrom="paragraph">
                  <wp:posOffset>7620</wp:posOffset>
                </wp:positionV>
                <wp:extent cx="2360930" cy="1404620"/>
                <wp:effectExtent l="0" t="0" r="381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6553C6" w14:textId="77777777" w:rsidR="00E75888" w:rsidRPr="00E75888" w:rsidRDefault="00E75888" w:rsidP="00E75888">
                            <w:pPr>
                              <w:rPr>
                                <w:b/>
                              </w:rPr>
                            </w:pPr>
                            <w:r w:rsidRPr="00E75888">
                              <w:rPr>
                                <w:b/>
                              </w:rPr>
                              <w: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806822" id="_x0000_t202" coordsize="21600,21600" o:spt="202" path="m,l,21600r21600,l21600,xe">
                <v:stroke joinstyle="miter"/>
                <v:path gradientshapeok="t" o:connecttype="rect"/>
              </v:shapetype>
              <v:shape id="Text Box 2" o:spid="_x0000_s1026" type="#_x0000_t202" style="position:absolute;margin-left:-11.25pt;margin-top:.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QY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" stroked="f">
                <v:textbox style="mso-fit-shape-to-text:t">
                  <w:txbxContent>
                    <w:p w14:paraId="796553C6" w14:textId="77777777" w:rsidR="00E75888" w:rsidRPr="00E75888" w:rsidRDefault="00E75888" w:rsidP="00E75888">
                      <w:pPr>
                        <w:rPr>
                          <w:b/>
                        </w:rPr>
                      </w:pPr>
                      <w:r w:rsidRPr="00E75888">
                        <w:rPr>
                          <w:b/>
                        </w:rPr>
                        <w:t>A.</w:t>
                      </w:r>
                    </w:p>
                  </w:txbxContent>
                </v:textbox>
                <w10:wrap type="square"/>
              </v:shape>
            </w:pict>
          </mc:Fallback>
        </mc:AlternateContent>
      </w:r>
    </w:p>
    <w:p w14:paraId="1CFEE935" w14:textId="77777777" w:rsidR="008F0937" w:rsidRPr="005C039D" w:rsidRDefault="006A5248" w:rsidP="008F0937">
      <w:r>
        <w:rPr>
          <w:noProof/>
        </w:rPr>
        <w:drawing>
          <wp:anchor distT="0" distB="0" distL="114300" distR="114300" simplePos="0" relativeHeight="251658240" behindDoc="0" locked="0" layoutInCell="1" allowOverlap="1" wp14:anchorId="57FBBA7E" wp14:editId="6F2E648A">
            <wp:simplePos x="0" y="0"/>
            <wp:positionH relativeFrom="column">
              <wp:posOffset>0</wp:posOffset>
            </wp:positionH>
            <wp:positionV relativeFrom="paragraph">
              <wp:posOffset>-635</wp:posOffset>
            </wp:positionV>
            <wp:extent cx="4629150" cy="2847975"/>
            <wp:effectExtent l="0" t="0" r="0" b="9525"/>
            <wp:wrapThrough wrapText="bothSides">
              <wp:wrapPolygon edited="0">
                <wp:start x="0" y="0"/>
                <wp:lineTo x="0" y="21528"/>
                <wp:lineTo x="21511" y="21528"/>
                <wp:lineTo x="21511" y="0"/>
                <wp:lineTo x="0" y="0"/>
              </wp:wrapPolygon>
            </wp:wrapThrough>
            <wp:docPr id="3" name="Picture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200-00000200000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629150" cy="2847975"/>
                    </a:xfrm>
                    <a:prstGeom prst="rect">
                      <a:avLst/>
                    </a:prstGeom>
                  </pic:spPr>
                </pic:pic>
              </a:graphicData>
            </a:graphic>
            <wp14:sizeRelH relativeFrom="page">
              <wp14:pctWidth>0</wp14:pctWidth>
            </wp14:sizeRelH>
            <wp14:sizeRelV relativeFrom="page">
              <wp14:pctHeight>0</wp14:pctHeight>
            </wp14:sizeRelV>
          </wp:anchor>
        </w:drawing>
      </w:r>
    </w:p>
    <w:p w14:paraId="7A455258" w14:textId="77777777" w:rsidR="00451AE4" w:rsidRPr="00C6786B" w:rsidRDefault="00451AE4"/>
    <w:p w14:paraId="5074EDBB" w14:textId="77777777" w:rsidR="00E75888" w:rsidRDefault="00E57446">
      <w:r>
        <w:t xml:space="preserve">  </w:t>
      </w:r>
    </w:p>
    <w:p w14:paraId="30D11133" w14:textId="77777777" w:rsidR="00464E6B" w:rsidRDefault="00E75888">
      <w:r>
        <w:rPr>
          <w:noProof/>
        </w:rPr>
        <mc:AlternateContent>
          <mc:Choice Requires="wps">
            <w:drawing>
              <wp:anchor distT="45720" distB="45720" distL="114300" distR="114300" simplePos="0" relativeHeight="251660288" behindDoc="0" locked="0" layoutInCell="1" allowOverlap="1" wp14:anchorId="61D3EA22" wp14:editId="19C9F8B0">
                <wp:simplePos x="0" y="0"/>
                <wp:positionH relativeFrom="column">
                  <wp:posOffset>-140970</wp:posOffset>
                </wp:positionH>
                <wp:positionV relativeFrom="paragraph">
                  <wp:posOffset>2136140</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AABFC9" w14:textId="77777777" w:rsidR="00E75888" w:rsidRPr="00E75888" w:rsidRDefault="00E75888">
                            <w:pPr>
                              <w:rPr>
                                <w:b/>
                              </w:rPr>
                            </w:pPr>
                            <w:r w:rsidRPr="00E75888">
                              <w:rPr>
                                <w:b/>
                              </w:rPr>
                              <w:t>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D3EA22" id="_x0000_s1027" type="#_x0000_t202" style="position:absolute;margin-left:-11.1pt;margin-top:168.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" stroked="f">
                <v:textbox style="mso-fit-shape-to-text:t">
                  <w:txbxContent>
                    <w:p w14:paraId="59AABFC9" w14:textId="77777777" w:rsidR="00E75888" w:rsidRPr="00E75888" w:rsidRDefault="00E75888">
                      <w:pPr>
                        <w:rPr>
                          <w:b/>
                        </w:rPr>
                      </w:pPr>
                      <w:r w:rsidRPr="00E75888">
                        <w:rPr>
                          <w:b/>
                        </w:rPr>
                        <w:t>B.</w:t>
                      </w:r>
                    </w:p>
                  </w:txbxContent>
                </v:textbox>
                <w10:wrap type="square"/>
              </v:shape>
            </w:pict>
          </mc:Fallback>
        </mc:AlternateContent>
      </w:r>
      <w:r w:rsidR="00E57446">
        <w:t xml:space="preserve">  </w:t>
      </w:r>
      <w:r w:rsidR="00127101">
        <w:t xml:space="preserve">  </w:t>
      </w:r>
      <w:bookmarkEnd w:id="0"/>
    </w:p>
    <w:p w14:paraId="5F8DAB71" w14:textId="77777777" w:rsidR="00E75888" w:rsidRDefault="00E75888"/>
    <w:p w14:paraId="58F6E6B1" w14:textId="77777777" w:rsidR="00E75888" w:rsidRDefault="00E75888"/>
    <w:p w14:paraId="12FCE992" w14:textId="77777777" w:rsidR="00E75888" w:rsidRDefault="00E75888"/>
    <w:p w14:paraId="0B9954A4" w14:textId="77777777" w:rsidR="00E75888" w:rsidRDefault="00E75888"/>
    <w:p w14:paraId="1450DFD0" w14:textId="77777777" w:rsidR="00E75888" w:rsidRDefault="00E75888"/>
    <w:p w14:paraId="7DA6E5EE" w14:textId="77777777" w:rsidR="00E75888" w:rsidRDefault="00E75888"/>
    <w:p w14:paraId="06CFE495" w14:textId="77777777" w:rsidR="00E75888" w:rsidRDefault="00E75888"/>
    <w:p w14:paraId="7080EB30" w14:textId="77777777" w:rsidR="00E75888" w:rsidRDefault="00E75888">
      <w:r>
        <w:rPr>
          <w:noProof/>
        </w:rPr>
        <w:drawing>
          <wp:anchor distT="0" distB="0" distL="114300" distR="114300" simplePos="0" relativeHeight="251661312" behindDoc="0" locked="0" layoutInCell="1" allowOverlap="1" wp14:anchorId="745645B6" wp14:editId="2CBD45CA">
            <wp:simplePos x="0" y="0"/>
            <wp:positionH relativeFrom="column">
              <wp:posOffset>0</wp:posOffset>
            </wp:positionH>
            <wp:positionV relativeFrom="paragraph">
              <wp:posOffset>198120</wp:posOffset>
            </wp:positionV>
            <wp:extent cx="4943475" cy="2847975"/>
            <wp:effectExtent l="0" t="0" r="9525" b="9525"/>
            <wp:wrapThrough wrapText="bothSides">
              <wp:wrapPolygon edited="0">
                <wp:start x="0" y="0"/>
                <wp:lineTo x="0" y="21528"/>
                <wp:lineTo x="21558" y="21528"/>
                <wp:lineTo x="21558" y="0"/>
                <wp:lineTo x="0" y="0"/>
              </wp:wrapPolygon>
            </wp:wrapThrough>
            <wp:docPr id="1" name="Chart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CCB8015" w14:textId="77777777" w:rsidR="00E75888" w:rsidRDefault="00E75888"/>
    <w:p w14:paraId="45FD71FB" w14:textId="77777777" w:rsidR="00E75888" w:rsidRDefault="00E75888"/>
    <w:p w14:paraId="270A878C" w14:textId="77777777" w:rsidR="00E75888" w:rsidRDefault="00E75888"/>
    <w:p w14:paraId="59FEC5C6" w14:textId="77777777" w:rsidR="00E75888" w:rsidRDefault="00E75888"/>
    <w:p w14:paraId="1DF61473" w14:textId="77777777" w:rsidR="00E75888" w:rsidRDefault="00E75888"/>
    <w:p w14:paraId="047B3940" w14:textId="77777777" w:rsidR="00E75888" w:rsidRDefault="00E75888"/>
    <w:p w14:paraId="06500BF1" w14:textId="77777777" w:rsidR="00E75888" w:rsidRDefault="00E75888"/>
    <w:p w14:paraId="47E6DF29" w14:textId="77777777" w:rsidR="00E75888" w:rsidRDefault="00E75888"/>
    <w:p w14:paraId="7F0C1416" w14:textId="77777777" w:rsidR="00E75888" w:rsidRDefault="00E75888"/>
    <w:p w14:paraId="0D6B9B4A" w14:textId="77777777" w:rsidR="00E75888" w:rsidRDefault="00E75888"/>
    <w:p w14:paraId="74310CC5" w14:textId="7308C858" w:rsidR="006A5248" w:rsidRDefault="00443213">
      <w:r w:rsidRPr="0094778D">
        <w:t xml:space="preserve">Figure </w:t>
      </w:r>
      <w:r w:rsidR="00E75888">
        <w:t>2</w:t>
      </w:r>
      <w:r w:rsidRPr="0094778D">
        <w:t xml:space="preserve">. </w:t>
      </w:r>
      <w:r w:rsidR="006A5248" w:rsidRPr="006A5248">
        <w:t xml:space="preserve"> </w:t>
      </w:r>
      <w:r w:rsidR="006A5248" w:rsidRPr="006A5248">
        <w:rPr>
          <w:b/>
          <w:bCs/>
        </w:rPr>
        <w:t>A</w:t>
      </w:r>
      <w:r w:rsidR="003D0471">
        <w:rPr>
          <w:b/>
          <w:bCs/>
        </w:rPr>
        <w:t>:</w:t>
      </w:r>
      <w:r w:rsidR="006A5248" w:rsidRPr="006A5248">
        <w:t xml:space="preserve"> </w:t>
      </w:r>
      <w:proofErr w:type="spellStart"/>
      <w:r w:rsidR="00F26700" w:rsidRPr="00D96ED2">
        <w:rPr>
          <w:i/>
        </w:rPr>
        <w:t>Pratylenchus</w:t>
      </w:r>
      <w:proofErr w:type="spellEnd"/>
      <w:r w:rsidR="00E75888">
        <w:rPr>
          <w:i/>
        </w:rPr>
        <w:t xml:space="preserve"> </w:t>
      </w:r>
      <w:proofErr w:type="spellStart"/>
      <w:r w:rsidR="00E75888">
        <w:rPr>
          <w:i/>
        </w:rPr>
        <w:t>dakotaensis</w:t>
      </w:r>
      <w:proofErr w:type="spellEnd"/>
      <w:r w:rsidR="00E75888" w:rsidRPr="006A5248">
        <w:t xml:space="preserve"> </w:t>
      </w:r>
      <w:r w:rsidR="006A5248" w:rsidRPr="006A5248">
        <w:t>melting curve profile. No amplification was observed for negative controls</w:t>
      </w:r>
      <w:r w:rsidR="003D0471">
        <w:t>.</w:t>
      </w:r>
      <w:r w:rsidR="006A5248" w:rsidRPr="006A5248">
        <w:t xml:space="preserve"> </w:t>
      </w:r>
      <w:r w:rsidR="006A5248" w:rsidRPr="006A5248">
        <w:rPr>
          <w:b/>
          <w:bCs/>
        </w:rPr>
        <w:t>B</w:t>
      </w:r>
      <w:r w:rsidR="006A5248" w:rsidRPr="006A5248">
        <w:t xml:space="preserve">: The standard curve, regression equation, </w:t>
      </w:r>
      <w:r w:rsidR="00F26700">
        <w:t xml:space="preserve">and </w:t>
      </w:r>
      <w:r w:rsidR="006A5248" w:rsidRPr="006A5248">
        <w:t>co-efficient of determination (</w:t>
      </w:r>
      <w:r w:rsidR="006A5248" w:rsidRPr="00E75888">
        <w:rPr>
          <w:iCs/>
        </w:rPr>
        <w:t>R</w:t>
      </w:r>
      <w:r w:rsidR="006A5248" w:rsidRPr="00E75888">
        <w:rPr>
          <w:iCs/>
          <w:vertAlign w:val="superscript"/>
        </w:rPr>
        <w:t>2</w:t>
      </w:r>
      <w:r w:rsidR="006A5248" w:rsidRPr="006A5248">
        <w:t xml:space="preserve">) for the qPCR assay developed for detection and quantification of </w:t>
      </w:r>
      <w:r w:rsidR="00E75888">
        <w:rPr>
          <w:i/>
        </w:rPr>
        <w:t>P. dakotaensis</w:t>
      </w:r>
      <w:r w:rsidR="00E75888" w:rsidRPr="006A5248">
        <w:t xml:space="preserve"> </w:t>
      </w:r>
      <w:r w:rsidR="006A5248" w:rsidRPr="006A5248">
        <w:t>in soil. Quantification cycle (</w:t>
      </w:r>
      <w:proofErr w:type="spellStart"/>
      <w:r w:rsidR="006A5248" w:rsidRPr="006A5248">
        <w:t>Cq</w:t>
      </w:r>
      <w:proofErr w:type="spellEnd"/>
      <w:r w:rsidR="006A5248" w:rsidRPr="006A5248">
        <w:t xml:space="preserve">) </w:t>
      </w:r>
      <w:r w:rsidR="00F26700">
        <w:t xml:space="preserve">was </w:t>
      </w:r>
      <w:r w:rsidR="006A5248" w:rsidRPr="006A5248">
        <w:t xml:space="preserve">plotted against the log of the number of </w:t>
      </w:r>
      <w:r w:rsidR="00E75888">
        <w:rPr>
          <w:i/>
        </w:rPr>
        <w:t>P. dakotaensis</w:t>
      </w:r>
      <w:r w:rsidR="00E75888" w:rsidRPr="006A5248">
        <w:t xml:space="preserve"> </w:t>
      </w:r>
      <w:r w:rsidR="006A5248" w:rsidRPr="006A5248">
        <w:t>(1, 4, 16, 64, and 256) added to 0.5 g of autoclaved soil. Each red dot represents an average of three biological replicate</w:t>
      </w:r>
      <w:r w:rsidR="00E75888">
        <w:t>s</w:t>
      </w:r>
      <w:r w:rsidR="006A5248" w:rsidRPr="006A5248">
        <w:t xml:space="preserve"> for each treatment run in triplicate. Amplification efficiency (E) = 10</w:t>
      </w:r>
      <w:r w:rsidR="006A5248" w:rsidRPr="006A5248">
        <w:rPr>
          <w:vertAlign w:val="superscript"/>
        </w:rPr>
        <w:t xml:space="preserve">(1/−m) </w:t>
      </w:r>
      <w:r w:rsidR="006A5248" w:rsidRPr="006A5248">
        <w:t>– 1, where m is the slope of the regression equation</w:t>
      </w:r>
      <w:r w:rsidR="006A5248">
        <w:t>.</w:t>
      </w:r>
    </w:p>
    <w:p w14:paraId="18C3C5D3" w14:textId="77777777" w:rsidR="006A5248" w:rsidRDefault="006A5248"/>
    <w:p w14:paraId="2988E4A1" w14:textId="77777777" w:rsidR="006A5248" w:rsidRDefault="006A5248">
      <w:r>
        <w:rPr>
          <w:noProof/>
        </w:rPr>
        <w:drawing>
          <wp:inline distT="0" distB="0" distL="0" distR="0" wp14:anchorId="742B14CC" wp14:editId="33C9BBB7">
            <wp:extent cx="5495925" cy="3514725"/>
            <wp:effectExtent l="0" t="0" r="9525" b="9525"/>
            <wp:docPr id="5" name="Chart 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B7B814" w14:textId="5CBFB2E4" w:rsidR="0016591A" w:rsidRDefault="00E75888">
      <w:pPr>
        <w:rPr>
          <w:b/>
        </w:rPr>
      </w:pPr>
      <w:r w:rsidRPr="0094778D">
        <w:t xml:space="preserve">Figure </w:t>
      </w:r>
      <w:r>
        <w:t>3</w:t>
      </w:r>
      <w:r w:rsidRPr="0094778D">
        <w:t>.</w:t>
      </w:r>
      <w:r>
        <w:t xml:space="preserve"> </w:t>
      </w:r>
      <w:bookmarkStart w:id="2" w:name="_Hlk75623739"/>
      <w:r w:rsidR="001630C0">
        <w:t>A c</w:t>
      </w:r>
      <w:r w:rsidR="006A5248" w:rsidRPr="006A5248">
        <w:t>orrelation curve for nematode quantification from 15 naturally infested field soil samples</w:t>
      </w:r>
      <w:r w:rsidR="001630C0">
        <w:t xml:space="preserve"> </w:t>
      </w:r>
      <w:r w:rsidR="006A5248" w:rsidRPr="006A5248">
        <w:t xml:space="preserve">between the numbers of </w:t>
      </w:r>
      <w:proofErr w:type="spellStart"/>
      <w:r w:rsidR="00F26700" w:rsidRPr="00D96ED2">
        <w:rPr>
          <w:i/>
        </w:rPr>
        <w:t>Pratylenchus</w:t>
      </w:r>
      <w:proofErr w:type="spellEnd"/>
      <w:r w:rsidR="003026B4">
        <w:rPr>
          <w:i/>
        </w:rPr>
        <w:t xml:space="preserve"> </w:t>
      </w:r>
      <w:proofErr w:type="spellStart"/>
      <w:r w:rsidR="003026B4">
        <w:rPr>
          <w:i/>
        </w:rPr>
        <w:t>dakotaensis</w:t>
      </w:r>
      <w:proofErr w:type="spellEnd"/>
      <w:r w:rsidR="003026B4" w:rsidRPr="006A5248">
        <w:t xml:space="preserve"> </w:t>
      </w:r>
      <w:r w:rsidR="006A5248" w:rsidRPr="006A5248">
        <w:t>determined by qPCR and by sugar extraction and microscopic counting method</w:t>
      </w:r>
      <w:bookmarkEnd w:id="2"/>
      <w:r w:rsidR="006A5248">
        <w:t xml:space="preserve">. </w:t>
      </w:r>
      <w:r w:rsidR="006A5248" w:rsidRPr="006A5248">
        <w:t>Each dot for y-axis represents the mean of three independent biological replicates r</w:t>
      </w:r>
      <w:r w:rsidR="003026B4">
        <w:t>u</w:t>
      </w:r>
      <w:r w:rsidR="006A5248" w:rsidRPr="006A5248">
        <w:t xml:space="preserve">n in triplicate and the corresponding dot for x-axis represents the average of </w:t>
      </w:r>
      <w:r w:rsidR="004A7706">
        <w:t xml:space="preserve">nematode counts in </w:t>
      </w:r>
      <w:r w:rsidR="006A5248" w:rsidRPr="006A5248">
        <w:t>each extraction manually counted twice</w:t>
      </w:r>
      <w:r w:rsidR="006A5248">
        <w:t>.</w:t>
      </w:r>
    </w:p>
    <w:p w14:paraId="3A1D8499" w14:textId="77777777" w:rsidR="0016591A" w:rsidRPr="0016591A" w:rsidRDefault="0016591A" w:rsidP="0016591A"/>
    <w:p w14:paraId="1974B74D" w14:textId="77777777" w:rsidR="0016591A" w:rsidRPr="0016591A" w:rsidRDefault="0016591A" w:rsidP="0016591A"/>
    <w:p w14:paraId="2DA8D705" w14:textId="77777777" w:rsidR="0016591A" w:rsidRDefault="0016591A" w:rsidP="0016591A">
      <w:bookmarkStart w:id="3" w:name="_GoBack"/>
      <w:bookmarkEnd w:id="3"/>
    </w:p>
    <w:p w14:paraId="414DB0AF" w14:textId="77777777" w:rsidR="006A5248" w:rsidRPr="0016591A" w:rsidRDefault="0016591A" w:rsidP="0016591A">
      <w:pPr>
        <w:tabs>
          <w:tab w:val="left" w:pos="5250"/>
        </w:tabs>
      </w:pPr>
      <w:r>
        <w:tab/>
      </w:r>
    </w:p>
    <w:sectPr w:rsidR="006A5248" w:rsidRPr="0016591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3FB0" w14:textId="77777777" w:rsidR="00EE3D50" w:rsidRDefault="00EE3D50" w:rsidP="006A5248">
      <w:pPr>
        <w:spacing w:after="0" w:line="240" w:lineRule="auto"/>
      </w:pPr>
      <w:r>
        <w:separator/>
      </w:r>
    </w:p>
  </w:endnote>
  <w:endnote w:type="continuationSeparator" w:id="0">
    <w:p w14:paraId="19A5FB5E" w14:textId="77777777" w:rsidR="00EE3D50" w:rsidRDefault="00EE3D50" w:rsidP="006A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278772"/>
      <w:docPartObj>
        <w:docPartGallery w:val="Page Numbers (Bottom of Page)"/>
        <w:docPartUnique/>
      </w:docPartObj>
    </w:sdtPr>
    <w:sdtEndPr>
      <w:rPr>
        <w:noProof/>
      </w:rPr>
    </w:sdtEndPr>
    <w:sdtContent>
      <w:p w14:paraId="163DC43F" w14:textId="77777777" w:rsidR="006A5248" w:rsidRDefault="006A5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E725C" w14:textId="77777777" w:rsidR="006A5248" w:rsidRDefault="006A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B771" w14:textId="77777777" w:rsidR="00EE3D50" w:rsidRDefault="00EE3D50" w:rsidP="006A5248">
      <w:pPr>
        <w:spacing w:after="0" w:line="240" w:lineRule="auto"/>
      </w:pPr>
      <w:r>
        <w:separator/>
      </w:r>
    </w:p>
  </w:footnote>
  <w:footnote w:type="continuationSeparator" w:id="0">
    <w:p w14:paraId="2A3BC2A3" w14:textId="77777777" w:rsidR="00EE3D50" w:rsidRDefault="00EE3D50" w:rsidP="006A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9775C"/>
    <w:multiLevelType w:val="hybridMultilevel"/>
    <w:tmpl w:val="95B6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AD"/>
    <w:rsid w:val="000113ED"/>
    <w:rsid w:val="00013288"/>
    <w:rsid w:val="000C4FAD"/>
    <w:rsid w:val="000E63D6"/>
    <w:rsid w:val="00127101"/>
    <w:rsid w:val="001332AF"/>
    <w:rsid w:val="00153ECC"/>
    <w:rsid w:val="001630C0"/>
    <w:rsid w:val="0016591A"/>
    <w:rsid w:val="001C363E"/>
    <w:rsid w:val="001C4BAC"/>
    <w:rsid w:val="001C59B8"/>
    <w:rsid w:val="001F6397"/>
    <w:rsid w:val="00274F23"/>
    <w:rsid w:val="002960B1"/>
    <w:rsid w:val="002A7508"/>
    <w:rsid w:val="002D0156"/>
    <w:rsid w:val="002E57D2"/>
    <w:rsid w:val="003026B4"/>
    <w:rsid w:val="00325AEA"/>
    <w:rsid w:val="003438FD"/>
    <w:rsid w:val="00345FC2"/>
    <w:rsid w:val="0036523A"/>
    <w:rsid w:val="00374216"/>
    <w:rsid w:val="003A40AD"/>
    <w:rsid w:val="003D0471"/>
    <w:rsid w:val="0042290B"/>
    <w:rsid w:val="00443213"/>
    <w:rsid w:val="00446BF4"/>
    <w:rsid w:val="00451AE4"/>
    <w:rsid w:val="00464E6B"/>
    <w:rsid w:val="00490690"/>
    <w:rsid w:val="004971EF"/>
    <w:rsid w:val="004A7706"/>
    <w:rsid w:val="004C1495"/>
    <w:rsid w:val="004C6168"/>
    <w:rsid w:val="004D65A6"/>
    <w:rsid w:val="00515A39"/>
    <w:rsid w:val="0055597C"/>
    <w:rsid w:val="005608AB"/>
    <w:rsid w:val="005848F6"/>
    <w:rsid w:val="005A358C"/>
    <w:rsid w:val="005E48A3"/>
    <w:rsid w:val="006207F5"/>
    <w:rsid w:val="00625BB6"/>
    <w:rsid w:val="0067002B"/>
    <w:rsid w:val="00684B2D"/>
    <w:rsid w:val="006A3985"/>
    <w:rsid w:val="006A5248"/>
    <w:rsid w:val="006B607F"/>
    <w:rsid w:val="007147D0"/>
    <w:rsid w:val="007379D1"/>
    <w:rsid w:val="00744E71"/>
    <w:rsid w:val="00760C71"/>
    <w:rsid w:val="00761186"/>
    <w:rsid w:val="007B0FAF"/>
    <w:rsid w:val="008116E4"/>
    <w:rsid w:val="00811BDB"/>
    <w:rsid w:val="0082103D"/>
    <w:rsid w:val="00831446"/>
    <w:rsid w:val="0085623D"/>
    <w:rsid w:val="00865ED2"/>
    <w:rsid w:val="00895E1D"/>
    <w:rsid w:val="008B3F23"/>
    <w:rsid w:val="008E0F5E"/>
    <w:rsid w:val="008F0937"/>
    <w:rsid w:val="008F674C"/>
    <w:rsid w:val="009158C2"/>
    <w:rsid w:val="009763BE"/>
    <w:rsid w:val="009E2FD5"/>
    <w:rsid w:val="00A05EC1"/>
    <w:rsid w:val="00A650B8"/>
    <w:rsid w:val="00B01A7D"/>
    <w:rsid w:val="00B01F62"/>
    <w:rsid w:val="00B07363"/>
    <w:rsid w:val="00B12CED"/>
    <w:rsid w:val="00BC018F"/>
    <w:rsid w:val="00C3395B"/>
    <w:rsid w:val="00C503CB"/>
    <w:rsid w:val="00C6786B"/>
    <w:rsid w:val="00C72ED2"/>
    <w:rsid w:val="00C95840"/>
    <w:rsid w:val="00CA461F"/>
    <w:rsid w:val="00D45D9F"/>
    <w:rsid w:val="00D96ED2"/>
    <w:rsid w:val="00DA041C"/>
    <w:rsid w:val="00DC08B0"/>
    <w:rsid w:val="00E0237E"/>
    <w:rsid w:val="00E0548B"/>
    <w:rsid w:val="00E4440C"/>
    <w:rsid w:val="00E57446"/>
    <w:rsid w:val="00E75888"/>
    <w:rsid w:val="00EB671F"/>
    <w:rsid w:val="00EE3D50"/>
    <w:rsid w:val="00EF39C0"/>
    <w:rsid w:val="00F26700"/>
    <w:rsid w:val="00F45F1A"/>
    <w:rsid w:val="00F64BA1"/>
    <w:rsid w:val="00FB7372"/>
    <w:rsid w:val="00FE11F7"/>
    <w:rsid w:val="00FF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0659"/>
  <w15:chartTrackingRefBased/>
  <w15:docId w15:val="{D0BB9942-4E5C-4F8D-B9D1-422C1133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AD"/>
    <w:pPr>
      <w:ind w:left="720"/>
      <w:contextualSpacing/>
    </w:pPr>
  </w:style>
  <w:style w:type="paragraph" w:styleId="Header">
    <w:name w:val="header"/>
    <w:basedOn w:val="Normal"/>
    <w:link w:val="HeaderChar"/>
    <w:uiPriority w:val="99"/>
    <w:unhideWhenUsed/>
    <w:rsid w:val="006A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48"/>
  </w:style>
  <w:style w:type="paragraph" w:styleId="Footer">
    <w:name w:val="footer"/>
    <w:basedOn w:val="Normal"/>
    <w:link w:val="FooterChar"/>
    <w:uiPriority w:val="99"/>
    <w:unhideWhenUsed/>
    <w:rsid w:val="006A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48"/>
  </w:style>
  <w:style w:type="character" w:styleId="CommentReference">
    <w:name w:val="annotation reference"/>
    <w:basedOn w:val="DefaultParagraphFont"/>
    <w:uiPriority w:val="99"/>
    <w:semiHidden/>
    <w:unhideWhenUsed/>
    <w:rsid w:val="00DC08B0"/>
    <w:rPr>
      <w:sz w:val="16"/>
      <w:szCs w:val="16"/>
    </w:rPr>
  </w:style>
  <w:style w:type="paragraph" w:styleId="CommentText">
    <w:name w:val="annotation text"/>
    <w:basedOn w:val="Normal"/>
    <w:link w:val="CommentTextChar"/>
    <w:uiPriority w:val="99"/>
    <w:semiHidden/>
    <w:unhideWhenUsed/>
    <w:rsid w:val="00DC08B0"/>
    <w:pPr>
      <w:spacing w:line="240" w:lineRule="auto"/>
    </w:pPr>
    <w:rPr>
      <w:sz w:val="20"/>
      <w:szCs w:val="20"/>
    </w:rPr>
  </w:style>
  <w:style w:type="character" w:customStyle="1" w:styleId="CommentTextChar">
    <w:name w:val="Comment Text Char"/>
    <w:basedOn w:val="DefaultParagraphFont"/>
    <w:link w:val="CommentText"/>
    <w:uiPriority w:val="99"/>
    <w:semiHidden/>
    <w:rsid w:val="00DC08B0"/>
    <w:rPr>
      <w:sz w:val="20"/>
      <w:szCs w:val="20"/>
    </w:rPr>
  </w:style>
  <w:style w:type="paragraph" w:styleId="CommentSubject">
    <w:name w:val="annotation subject"/>
    <w:basedOn w:val="CommentText"/>
    <w:next w:val="CommentText"/>
    <w:link w:val="CommentSubjectChar"/>
    <w:uiPriority w:val="99"/>
    <w:semiHidden/>
    <w:unhideWhenUsed/>
    <w:rsid w:val="00DC08B0"/>
    <w:rPr>
      <w:b/>
      <w:bCs/>
    </w:rPr>
  </w:style>
  <w:style w:type="character" w:customStyle="1" w:styleId="CommentSubjectChar">
    <w:name w:val="Comment Subject Char"/>
    <w:basedOn w:val="CommentTextChar"/>
    <w:link w:val="CommentSubject"/>
    <w:uiPriority w:val="99"/>
    <w:semiHidden/>
    <w:rsid w:val="00DC08B0"/>
    <w:rPr>
      <w:b/>
      <w:bCs/>
      <w:sz w:val="20"/>
      <w:szCs w:val="20"/>
    </w:rPr>
  </w:style>
  <w:style w:type="paragraph" w:styleId="BalloonText">
    <w:name w:val="Balloon Text"/>
    <w:basedOn w:val="Normal"/>
    <w:link w:val="BalloonTextChar"/>
    <w:uiPriority w:val="99"/>
    <w:semiHidden/>
    <w:unhideWhenUsed/>
    <w:rsid w:val="00DC0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808111">
      <w:bodyDiv w:val="1"/>
      <w:marLeft w:val="0"/>
      <w:marRight w:val="0"/>
      <w:marTop w:val="0"/>
      <w:marBottom w:val="0"/>
      <w:divBdr>
        <w:top w:val="none" w:sz="0" w:space="0" w:color="auto"/>
        <w:left w:val="none" w:sz="0" w:space="0" w:color="auto"/>
        <w:bottom w:val="none" w:sz="0" w:space="0" w:color="auto"/>
        <w:right w:val="none" w:sz="0" w:space="0" w:color="auto"/>
      </w:divBdr>
    </w:div>
    <w:div w:id="13577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ndusbpos-my.sharepoint.com/personal/intiaz_chowdhury_ndus_edu/Documents/As%20a%20Dr/RLN%20soybean%20cultivar%20screening/Daekotaensis%20cultivar%20screening%206.23.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iping.yan\Documents\Research\Soybean\NDSU%20soybean%20cyst%20nematode\SCN%20research%20report%202021\final%20report\New%20Hg50%20RLN\Hg50%20soil%20qPCR%20data%20for%20technical%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iping.yan\Documents\Research\Soybean\NDSU%20soybean%20cyst%20nematode\SCN%20research%20report%202021\final%20report\New%20Hg50%20RLN\Hg50%20soil%20qPCR%20data%20for%20technical%20repo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Sheet6!$O$2</c:f>
              <c:strCache>
                <c:ptCount val="1"/>
                <c:pt idx="0">
                  <c:v>Resistance reaction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Sheet6!$N$3:$N$6</c:f>
              <c:strCache>
                <c:ptCount val="4"/>
                <c:pt idx="0">
                  <c:v>R (Resistant)</c:v>
                </c:pt>
                <c:pt idx="1">
                  <c:v>MR (Moderately Resistant)</c:v>
                </c:pt>
                <c:pt idx="2">
                  <c:v>MS (Moderately Susceptible)</c:v>
                </c:pt>
                <c:pt idx="3">
                  <c:v>S (Susceptible)</c:v>
                </c:pt>
              </c:strCache>
            </c:strRef>
          </c:cat>
          <c:val>
            <c:numRef>
              <c:f>Sheet6!$O$3:$O$6</c:f>
              <c:numCache>
                <c:formatCode>General</c:formatCode>
                <c:ptCount val="4"/>
                <c:pt idx="0">
                  <c:v>0</c:v>
                </c:pt>
                <c:pt idx="1">
                  <c:v>0</c:v>
                </c:pt>
                <c:pt idx="2">
                  <c:v>3</c:v>
                </c:pt>
                <c:pt idx="3">
                  <c:v>7</c:v>
                </c:pt>
              </c:numCache>
            </c:numRef>
          </c:val>
          <c:extLst>
            <c:ext xmlns:c16="http://schemas.microsoft.com/office/drawing/2014/chart" uri="{C3380CC4-5D6E-409C-BE32-E72D297353CC}">
              <c16:uniqueId val="{00000000-207A-4FB3-8347-138C8E7B0B6F}"/>
            </c:ext>
          </c:extLst>
        </c:ser>
        <c:dLbls>
          <c:dLblPos val="outEnd"/>
          <c:showLegendKey val="0"/>
          <c:showVal val="1"/>
          <c:showCatName val="0"/>
          <c:showSerName val="0"/>
          <c:showPercent val="0"/>
          <c:showBubbleSize val="0"/>
        </c:dLbls>
        <c:gapWidth val="219"/>
        <c:overlap val="-27"/>
        <c:axId val="2014214047"/>
        <c:axId val="2021580927"/>
      </c:barChart>
      <c:catAx>
        <c:axId val="2014214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Resistance</a:t>
                </a:r>
                <a:r>
                  <a:rPr lang="en-US" sz="1200" b="1" baseline="0">
                    <a:solidFill>
                      <a:sysClr val="windowText" lastClr="000000"/>
                    </a:solidFill>
                    <a:latin typeface="Times New Roman" panose="02020603050405020304" pitchFamily="18" charset="0"/>
                    <a:cs typeface="Times New Roman" panose="02020603050405020304" pitchFamily="18" charset="0"/>
                  </a:rPr>
                  <a:t> reaction</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2431345422964151"/>
              <c:y val="0.920582877959926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1580927"/>
        <c:crosses val="autoZero"/>
        <c:auto val="1"/>
        <c:lblAlgn val="ctr"/>
        <c:lblOffset val="100"/>
        <c:noMultiLvlLbl val="0"/>
      </c:catAx>
      <c:valAx>
        <c:axId val="2021580927"/>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No.</a:t>
                </a:r>
                <a:r>
                  <a:rPr lang="en-US" sz="1200" b="1" baseline="0">
                    <a:solidFill>
                      <a:sysClr val="windowText" lastClr="000000"/>
                    </a:solidFill>
                    <a:latin typeface="Times New Roman" panose="02020603050405020304" pitchFamily="18" charset="0"/>
                    <a:cs typeface="Times New Roman" panose="02020603050405020304" pitchFamily="18" charset="0"/>
                  </a:rPr>
                  <a:t> of cultivars</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7608739866926232E-3"/>
              <c:y val="4.3667154670992754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4214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FF0000"/>
              </a:solidFill>
              <a:ln w="9525">
                <a:solidFill>
                  <a:srgbClr val="FF0000"/>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8.8625167137126731E-2"/>
                  <c:y val="0.17267543979147934"/>
                </c:manualLayout>
              </c:layout>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sz="1200" b="1" baseline="0">
                        <a:solidFill>
                          <a:schemeClr val="tx1"/>
                        </a:solidFill>
                      </a:rPr>
                      <a:t>y = -3.5528x + 28.352</a:t>
                    </a:r>
                    <a:br>
                      <a:rPr lang="en-US" sz="1200" b="1" baseline="0">
                        <a:solidFill>
                          <a:schemeClr val="tx1"/>
                        </a:solidFill>
                      </a:rPr>
                    </a:br>
                    <a:r>
                      <a:rPr lang="en-US" sz="1200" b="1" baseline="0">
                        <a:solidFill>
                          <a:schemeClr val="tx1"/>
                        </a:solidFill>
                      </a:rPr>
                      <a:t>R² = 0.9908</a:t>
                    </a:r>
                  </a:p>
                  <a:p>
                    <a:pPr>
                      <a:defRPr>
                        <a:solidFill>
                          <a:schemeClr val="tx1"/>
                        </a:solidFill>
                      </a:defRPr>
                    </a:pPr>
                    <a:r>
                      <a:rPr lang="en-US" sz="1200" b="1" baseline="0">
                        <a:solidFill>
                          <a:schemeClr val="tx1"/>
                        </a:solidFill>
                      </a:rPr>
                      <a:t>E = 91%</a:t>
                    </a:r>
                    <a:endParaRPr lang="en-US" sz="1200" b="1">
                      <a:solidFill>
                        <a:schemeClr val="tx1"/>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rendlineLbl>
          </c:trendline>
          <c:xVal>
            <c:numRef>
              <c:f>'\Users\deepika.arora\Desktop\hg50 paper\[Hg 50 standard curve data-  Quantification Cq Results.xlsx]0'!$Z$4:$Z$8</c:f>
              <c:numCache>
                <c:formatCode>General</c:formatCode>
                <c:ptCount val="5"/>
                <c:pt idx="0">
                  <c:v>0</c:v>
                </c:pt>
                <c:pt idx="1">
                  <c:v>0.6020599913279624</c:v>
                </c:pt>
                <c:pt idx="2">
                  <c:v>1.2041199826559248</c:v>
                </c:pt>
                <c:pt idx="3">
                  <c:v>1.8061799739838871</c:v>
                </c:pt>
                <c:pt idx="4">
                  <c:v>2.4082399653118496</c:v>
                </c:pt>
              </c:numCache>
            </c:numRef>
          </c:xVal>
          <c:yVal>
            <c:numRef>
              <c:f>'\Users\deepika.arora\Desktop\hg50 paper\[Hg 50 standard curve data-  Quantification Cq Results.xlsx]0'!$AA$4:$AA$8</c:f>
              <c:numCache>
                <c:formatCode>General</c:formatCode>
                <c:ptCount val="5"/>
                <c:pt idx="0">
                  <c:v>28.61</c:v>
                </c:pt>
                <c:pt idx="1">
                  <c:v>26.22</c:v>
                </c:pt>
                <c:pt idx="2">
                  <c:v>23.53</c:v>
                </c:pt>
                <c:pt idx="3">
                  <c:v>21.97</c:v>
                </c:pt>
                <c:pt idx="4">
                  <c:v>20.04</c:v>
                </c:pt>
              </c:numCache>
            </c:numRef>
          </c:yVal>
          <c:smooth val="0"/>
          <c:extLst>
            <c:ext xmlns:c16="http://schemas.microsoft.com/office/drawing/2014/chart" uri="{C3380CC4-5D6E-409C-BE32-E72D297353CC}">
              <c16:uniqueId val="{00000002-6202-4028-AFF6-17200D396C46}"/>
            </c:ext>
          </c:extLst>
        </c:ser>
        <c:dLbls>
          <c:showLegendKey val="0"/>
          <c:showVal val="0"/>
          <c:showCatName val="0"/>
          <c:showSerName val="0"/>
          <c:showPercent val="0"/>
          <c:showBubbleSize val="0"/>
        </c:dLbls>
        <c:axId val="497991880"/>
        <c:axId val="497985976"/>
      </c:scatterChart>
      <c:valAx>
        <c:axId val="497991880"/>
        <c:scaling>
          <c:orientation val="minMax"/>
          <c:max val="2.5"/>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b="1">
                    <a:solidFill>
                      <a:schemeClr val="tx1"/>
                    </a:solidFill>
                  </a:rPr>
                  <a:t>Log number</a:t>
                </a:r>
                <a:r>
                  <a:rPr lang="en-US" sz="1200" b="1" baseline="0">
                    <a:solidFill>
                      <a:schemeClr val="tx1"/>
                    </a:solidFill>
                  </a:rPr>
                  <a:t> of nematodes inoculated in 0.5 g autoclaved soil </a:t>
                </a:r>
                <a:endParaRPr lang="en-US" sz="1200" b="1">
                  <a:solidFill>
                    <a:schemeClr val="tx1"/>
                  </a:solidFill>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crossAx val="497985976"/>
        <c:crosses val="autoZero"/>
        <c:crossBetween val="midCat"/>
      </c:valAx>
      <c:valAx>
        <c:axId val="49798597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US" sz="1200" b="1">
                    <a:solidFill>
                      <a:schemeClr val="tx1"/>
                    </a:solidFill>
                  </a:rPr>
                  <a:t>Cq</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j-lt"/>
                <a:ea typeface="+mn-ea"/>
                <a:cs typeface="+mn-cs"/>
              </a:defRPr>
            </a:pPr>
            <a:endParaRPr lang="en-US"/>
          </a:p>
        </c:txPr>
        <c:crossAx val="4979918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FF0000"/>
              </a:solidFill>
              <a:ln w="9525">
                <a:solidFill>
                  <a:srgbClr val="FF0000"/>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FF0000"/>
                </a:solidFill>
                <a:prstDash val="sysDash"/>
              </a:ln>
              <a:effectLst/>
            </c:spPr>
            <c:trendlineType val="linear"/>
            <c:dispRSqr val="1"/>
            <c:dispEq val="1"/>
            <c:trendlineLbl>
              <c:layout>
                <c:manualLayout>
                  <c:x val="-0.30843525809273842"/>
                  <c:y val="8.7488334791484393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solidFill>
                          <a:sysClr val="windowText" lastClr="000000"/>
                        </a:solidFill>
                      </a:rPr>
                      <a:t>y</a:t>
                    </a:r>
                    <a:r>
                      <a:rPr lang="en-US" sz="1200" b="1" baseline="0"/>
                      <a:t> </a:t>
                    </a:r>
                    <a:r>
                      <a:rPr lang="en-US" sz="1200" b="1" baseline="0">
                        <a:solidFill>
                          <a:schemeClr val="tx1"/>
                        </a:solidFill>
                      </a:rPr>
                      <a:t>= 1.6825x - 334.97</a:t>
                    </a:r>
                    <a:br>
                      <a:rPr lang="en-US" sz="1200" b="1" baseline="0">
                        <a:solidFill>
                          <a:schemeClr val="tx1"/>
                        </a:solidFill>
                      </a:rPr>
                    </a:br>
                    <a:r>
                      <a:rPr lang="en-US" sz="1200" b="1" baseline="0">
                        <a:solidFill>
                          <a:schemeClr val="tx1"/>
                        </a:solidFill>
                      </a:rPr>
                      <a:t>R² = 0.7847</a:t>
                    </a:r>
                    <a:endParaRPr lang="en-US" sz="1200" b="1">
                      <a:solidFill>
                        <a:schemeClr val="tx1"/>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'\Users\deepika.arora\Desktop\[hG 50 15 field samples co-relation curve.xlsx]Sheet1'!$I$1:$I$15</c:f>
              <c:numCache>
                <c:formatCode>General</c:formatCode>
                <c:ptCount val="15"/>
                <c:pt idx="0">
                  <c:v>660</c:v>
                </c:pt>
                <c:pt idx="1">
                  <c:v>560</c:v>
                </c:pt>
                <c:pt idx="2">
                  <c:v>840</c:v>
                </c:pt>
                <c:pt idx="3">
                  <c:v>540</c:v>
                </c:pt>
                <c:pt idx="4">
                  <c:v>1240</c:v>
                </c:pt>
                <c:pt idx="5">
                  <c:v>940</c:v>
                </c:pt>
                <c:pt idx="6">
                  <c:v>120</c:v>
                </c:pt>
                <c:pt idx="7">
                  <c:v>20</c:v>
                </c:pt>
                <c:pt idx="8">
                  <c:v>480</c:v>
                </c:pt>
                <c:pt idx="9">
                  <c:v>900</c:v>
                </c:pt>
                <c:pt idx="10">
                  <c:v>1080</c:v>
                </c:pt>
                <c:pt idx="11">
                  <c:v>580</c:v>
                </c:pt>
                <c:pt idx="12">
                  <c:v>440</c:v>
                </c:pt>
                <c:pt idx="13">
                  <c:v>640</c:v>
                </c:pt>
                <c:pt idx="14">
                  <c:v>580</c:v>
                </c:pt>
              </c:numCache>
            </c:numRef>
          </c:xVal>
          <c:yVal>
            <c:numRef>
              <c:f>'\Users\deepika.arora\Desktop\[hG 50 15 field samples co-relation curve.xlsx]Sheet1'!$J$1:$J$15</c:f>
              <c:numCache>
                <c:formatCode>General</c:formatCode>
                <c:ptCount val="15"/>
                <c:pt idx="0">
                  <c:v>371</c:v>
                </c:pt>
                <c:pt idx="1">
                  <c:v>878</c:v>
                </c:pt>
                <c:pt idx="2">
                  <c:v>1474</c:v>
                </c:pt>
                <c:pt idx="3">
                  <c:v>595</c:v>
                </c:pt>
                <c:pt idx="4">
                  <c:v>1986</c:v>
                </c:pt>
                <c:pt idx="5">
                  <c:v>1373</c:v>
                </c:pt>
                <c:pt idx="6">
                  <c:v>89.075395573979449</c:v>
                </c:pt>
                <c:pt idx="7">
                  <c:v>0</c:v>
                </c:pt>
                <c:pt idx="8">
                  <c:v>268.07332060609974</c:v>
                </c:pt>
                <c:pt idx="9">
                  <c:v>643</c:v>
                </c:pt>
                <c:pt idx="10">
                  <c:v>1767</c:v>
                </c:pt>
                <c:pt idx="11">
                  <c:v>347.40882717938985</c:v>
                </c:pt>
                <c:pt idx="12">
                  <c:v>240.10655162894844</c:v>
                </c:pt>
                <c:pt idx="13">
                  <c:v>607</c:v>
                </c:pt>
                <c:pt idx="14">
                  <c:v>522.59563253132626</c:v>
                </c:pt>
              </c:numCache>
            </c:numRef>
          </c:yVal>
          <c:smooth val="0"/>
          <c:extLst>
            <c:ext xmlns:c16="http://schemas.microsoft.com/office/drawing/2014/chart" uri="{C3380CC4-5D6E-409C-BE32-E72D297353CC}">
              <c16:uniqueId val="{00000002-E989-4D35-80FE-87F562B2AB18}"/>
            </c:ext>
          </c:extLst>
        </c:ser>
        <c:dLbls>
          <c:showLegendKey val="0"/>
          <c:showVal val="0"/>
          <c:showCatName val="0"/>
          <c:showSerName val="0"/>
          <c:showPercent val="0"/>
          <c:showBubbleSize val="0"/>
        </c:dLbls>
        <c:axId val="447007192"/>
        <c:axId val="447004896"/>
      </c:scatterChart>
      <c:valAx>
        <c:axId val="447007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rPr>
                  <a:t>Number</a:t>
                </a:r>
                <a:r>
                  <a:rPr lang="en-US" sz="1200" b="1" baseline="0">
                    <a:solidFill>
                      <a:sysClr val="windowText" lastClr="000000"/>
                    </a:solidFill>
                  </a:rPr>
                  <a:t> of nematodes by manual counting</a:t>
                </a:r>
                <a:endParaRPr lang="en-US" sz="1200" b="1">
                  <a:solidFill>
                    <a:sysClr val="windowText" lastClr="000000"/>
                  </a:solidFill>
                </a:endParaRPr>
              </a:p>
            </c:rich>
          </c:tx>
          <c:layout>
            <c:manualLayout>
              <c:xMode val="edge"/>
              <c:yMode val="edge"/>
              <c:x val="0.2910696561543325"/>
              <c:y val="0.914543812104787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47004896"/>
        <c:crosses val="autoZero"/>
        <c:crossBetween val="midCat"/>
      </c:valAx>
      <c:valAx>
        <c:axId val="447004896"/>
        <c:scaling>
          <c:orientation val="minMax"/>
          <c:max val="2000"/>
          <c:min val="0"/>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solidFill>
                      <a:schemeClr val="tx1"/>
                    </a:solidFill>
                  </a:rPr>
                  <a:t>Number of nematodes by qPCR  </a:t>
                </a:r>
              </a:p>
            </c:rich>
          </c:tx>
          <c:layout>
            <c:manualLayout>
              <c:xMode val="edge"/>
              <c:yMode val="edge"/>
              <c:x val="1.3864818024263431E-2"/>
              <c:y val="0.13982089637169337"/>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crossAx val="447007192"/>
        <c:crosses val="autoZero"/>
        <c:crossBetween val="midCat"/>
        <c:majorUnit val="4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2ca7daf12f6e1c13c0a9a0506ab270f0">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f7baf9b63f291d006cdb5160c5a9685c"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A6000-7D20-4ED7-9403-F7EF99FE7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50DBB-0F12-4D6D-B4EB-928E31ED1605}">
  <ds:schemaRefs>
    <ds:schemaRef ds:uri="http://schemas.microsoft.com/office/2006/metadata/properties"/>
    <ds:schemaRef ds:uri="http://schemas.microsoft.com/office/infopath/2007/PartnerControls"/>
    <ds:schemaRef ds:uri="66659ddc-3c25-4d3e-b3b7-9890fca5266d"/>
  </ds:schemaRefs>
</ds:datastoreItem>
</file>

<file path=customXml/itemProps3.xml><?xml version="1.0" encoding="utf-8"?>
<ds:datastoreItem xmlns:ds="http://schemas.openxmlformats.org/officeDocument/2006/customXml" ds:itemID="{1D4F8E7F-8C4B-411D-85F8-91BAEEE6F4FE}">
  <ds:schemaRefs>
    <ds:schemaRef ds:uri="http://schemas.microsoft.com/sharepoint/v3/contenttype/forms"/>
  </ds:schemaRefs>
</ds:datastoreItem>
</file>

<file path=customXml/itemProps4.xml><?xml version="1.0" encoding="utf-8"?>
<ds:datastoreItem xmlns:ds="http://schemas.openxmlformats.org/officeDocument/2006/customXml" ds:itemID="{9C52214F-A594-4300-9BBE-D6A16328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 Chowdhury</dc:creator>
  <cp:keywords/>
  <dc:description/>
  <cp:lastModifiedBy>Guiping Yan</cp:lastModifiedBy>
  <cp:revision>2</cp:revision>
  <cp:lastPrinted>2021-06-28T21:40:00Z</cp:lastPrinted>
  <dcterms:created xsi:type="dcterms:W3CDTF">2021-06-28T22:24:00Z</dcterms:created>
  <dcterms:modified xsi:type="dcterms:W3CDTF">2021-06-28T22:24:00Z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