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ECF" w:rsidRDefault="00D64ECF">
      <w:pPr>
        <w:pStyle w:val="Title"/>
      </w:pPr>
      <w:bookmarkStart w:id="0" w:name="_GoBack"/>
      <w:bookmarkEnd w:id="0"/>
      <w:r>
        <w:t xml:space="preserve">KANSAS SOYBEAN COMMISSION </w:t>
      </w:r>
      <w:r w:rsidR="00BA4DB3">
        <w:t xml:space="preserve">FINAL </w:t>
      </w:r>
      <w:r>
        <w:t>REPORT</w:t>
      </w:r>
    </w:p>
    <w:p w:rsidR="00D64ECF" w:rsidRDefault="00D64ECF">
      <w:pPr>
        <w:rPr>
          <w:sz w:val="24"/>
        </w:rPr>
      </w:pPr>
    </w:p>
    <w:p w:rsidR="00B366EB" w:rsidRDefault="00B366EB" w:rsidP="00B366EB">
      <w:pPr>
        <w:tabs>
          <w:tab w:val="left" w:pos="2340"/>
        </w:tabs>
        <w:rPr>
          <w:sz w:val="24"/>
        </w:rPr>
      </w:pPr>
      <w:r>
        <w:rPr>
          <w:sz w:val="24"/>
        </w:rPr>
        <w:t xml:space="preserve">Principal Investigators: </w:t>
      </w:r>
      <w:r>
        <w:rPr>
          <w:sz w:val="24"/>
        </w:rPr>
        <w:tab/>
        <w:t>Phillip W. Stahlman, ARCH and Mithila Jugulam, Department of Agronomy</w:t>
      </w:r>
    </w:p>
    <w:p w:rsidR="00B366EB" w:rsidRDefault="00B366EB" w:rsidP="00B366EB">
      <w:pPr>
        <w:rPr>
          <w:sz w:val="24"/>
        </w:rPr>
      </w:pPr>
    </w:p>
    <w:p w:rsidR="00B366EB" w:rsidRDefault="00B366EB" w:rsidP="00B366EB">
      <w:pPr>
        <w:tabs>
          <w:tab w:val="left" w:pos="720"/>
        </w:tabs>
        <w:rPr>
          <w:sz w:val="24"/>
        </w:rPr>
      </w:pPr>
      <w:r>
        <w:rPr>
          <w:sz w:val="24"/>
        </w:rPr>
        <w:t xml:space="preserve">Title: </w:t>
      </w:r>
      <w:r>
        <w:rPr>
          <w:sz w:val="24"/>
        </w:rPr>
        <w:tab/>
        <w:t>Risk of Stacked Dicamba and Glyphosate Resistance in Kochia and Best Management Practices</w:t>
      </w:r>
    </w:p>
    <w:p w:rsidR="00B366EB" w:rsidRDefault="00B366EB" w:rsidP="00B366EB">
      <w:pPr>
        <w:rPr>
          <w:sz w:val="24"/>
        </w:rPr>
      </w:pPr>
    </w:p>
    <w:p w:rsidR="00B366EB" w:rsidRDefault="00B366EB" w:rsidP="00B366EB">
      <w:pPr>
        <w:tabs>
          <w:tab w:val="left" w:pos="1800"/>
        </w:tabs>
        <w:rPr>
          <w:sz w:val="24"/>
        </w:rPr>
      </w:pPr>
      <w:r>
        <w:rPr>
          <w:sz w:val="24"/>
        </w:rPr>
        <w:t xml:space="preserve">Amount of Funding: </w:t>
      </w:r>
      <w:r>
        <w:rPr>
          <w:sz w:val="24"/>
        </w:rPr>
        <w:tab/>
        <w:t>$22,910</w:t>
      </w:r>
    </w:p>
    <w:p w:rsidR="00B366EB" w:rsidRDefault="00B366EB" w:rsidP="00B366EB">
      <w:pPr>
        <w:rPr>
          <w:sz w:val="24"/>
        </w:rPr>
      </w:pPr>
    </w:p>
    <w:p w:rsidR="00B366EB" w:rsidRDefault="00B366EB" w:rsidP="00B366EB">
      <w:pPr>
        <w:tabs>
          <w:tab w:val="left" w:pos="2160"/>
        </w:tabs>
        <w:rPr>
          <w:sz w:val="24"/>
        </w:rPr>
      </w:pPr>
      <w:r>
        <w:rPr>
          <w:sz w:val="24"/>
        </w:rPr>
        <w:t>Department Head(s):</w:t>
      </w:r>
      <w:r>
        <w:rPr>
          <w:sz w:val="24"/>
        </w:rPr>
        <w:tab/>
        <w:t xml:space="preserve">Robert Gillen and Gary Pierzenski </w:t>
      </w:r>
    </w:p>
    <w:p w:rsidR="00B366EB" w:rsidRDefault="00B366EB" w:rsidP="00B366EB">
      <w:pPr>
        <w:rPr>
          <w:sz w:val="24"/>
        </w:rPr>
      </w:pPr>
    </w:p>
    <w:p w:rsidR="00B366EB" w:rsidRDefault="00B366EB" w:rsidP="00B366EB">
      <w:pPr>
        <w:tabs>
          <w:tab w:val="left" w:pos="2160"/>
        </w:tabs>
        <w:rPr>
          <w:sz w:val="24"/>
        </w:rPr>
      </w:pPr>
      <w:r>
        <w:rPr>
          <w:sz w:val="24"/>
        </w:rPr>
        <w:t>Progress Report:</w:t>
      </w:r>
      <w:r>
        <w:rPr>
          <w:sz w:val="24"/>
        </w:rPr>
        <w:tab/>
      </w:r>
      <w:r w:rsidR="00C30710">
        <w:rPr>
          <w:sz w:val="24"/>
        </w:rPr>
        <w:t>March</w:t>
      </w:r>
      <w:r>
        <w:rPr>
          <w:sz w:val="24"/>
        </w:rPr>
        <w:t xml:space="preserve"> 1, 201</w:t>
      </w:r>
      <w:r w:rsidR="00DA0836">
        <w:rPr>
          <w:sz w:val="24"/>
        </w:rPr>
        <w:t>4</w:t>
      </w:r>
      <w:r>
        <w:rPr>
          <w:sz w:val="24"/>
        </w:rPr>
        <w:t>-</w:t>
      </w:r>
      <w:r w:rsidR="00C30710">
        <w:rPr>
          <w:sz w:val="24"/>
        </w:rPr>
        <w:t>February</w:t>
      </w:r>
      <w:r>
        <w:rPr>
          <w:sz w:val="24"/>
        </w:rPr>
        <w:t xml:space="preserve"> </w:t>
      </w:r>
      <w:r w:rsidR="00C30710">
        <w:rPr>
          <w:sz w:val="24"/>
        </w:rPr>
        <w:t>28</w:t>
      </w:r>
      <w:r>
        <w:rPr>
          <w:sz w:val="24"/>
        </w:rPr>
        <w:t>, 201</w:t>
      </w:r>
      <w:r w:rsidR="00E0292B">
        <w:rPr>
          <w:sz w:val="24"/>
        </w:rPr>
        <w:t>5</w:t>
      </w:r>
    </w:p>
    <w:p w:rsidR="00D64ECF" w:rsidRDefault="00D64ECF">
      <w:pPr>
        <w:tabs>
          <w:tab w:val="left" w:pos="2160"/>
        </w:tabs>
        <w:rPr>
          <w:sz w:val="24"/>
        </w:rPr>
      </w:pPr>
    </w:p>
    <w:p w:rsidR="006D00AF" w:rsidRPr="00366AA9" w:rsidRDefault="00CB639B" w:rsidP="006D00AF">
      <w:pPr>
        <w:rPr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Confirmation of resistance to dicamba in kochia.  </w:t>
      </w:r>
      <w:r w:rsidRPr="00CB639B">
        <w:rPr>
          <w:sz w:val="24"/>
          <w:szCs w:val="24"/>
        </w:rPr>
        <w:t xml:space="preserve">Greenhouse experiments were conducted </w:t>
      </w:r>
      <w:r w:rsidR="006D00AF">
        <w:rPr>
          <w:sz w:val="24"/>
          <w:szCs w:val="24"/>
        </w:rPr>
        <w:t xml:space="preserve">to </w:t>
      </w:r>
      <w:r w:rsidR="002A61F0">
        <w:rPr>
          <w:sz w:val="24"/>
          <w:szCs w:val="24"/>
        </w:rPr>
        <w:t>determine the suscep</w:t>
      </w:r>
      <w:r w:rsidR="006D00AF">
        <w:rPr>
          <w:sz w:val="24"/>
          <w:szCs w:val="24"/>
        </w:rPr>
        <w:t xml:space="preserve">tibility of various kochia populations from </w:t>
      </w:r>
      <w:r w:rsidR="002A61F0">
        <w:rPr>
          <w:sz w:val="24"/>
          <w:szCs w:val="24"/>
        </w:rPr>
        <w:t>throughout western Kansas to dicamba</w:t>
      </w:r>
      <w:r w:rsidR="006D00AF">
        <w:rPr>
          <w:sz w:val="24"/>
          <w:szCs w:val="24"/>
        </w:rPr>
        <w:t xml:space="preserve">. </w:t>
      </w:r>
      <w:r w:rsidR="006D00AF" w:rsidRPr="00E0292B">
        <w:rPr>
          <w:sz w:val="24"/>
          <w:szCs w:val="24"/>
        </w:rPr>
        <w:t xml:space="preserve">Eleven of 37 kochia populations </w:t>
      </w:r>
      <w:r w:rsidR="006D00AF">
        <w:rPr>
          <w:sz w:val="24"/>
          <w:szCs w:val="24"/>
        </w:rPr>
        <w:t xml:space="preserve">previously screened for response to dicamba were selected for additional testing. Fresh </w:t>
      </w:r>
      <w:r w:rsidR="00E330F9">
        <w:rPr>
          <w:sz w:val="24"/>
          <w:szCs w:val="24"/>
        </w:rPr>
        <w:t xml:space="preserve">and </w:t>
      </w:r>
      <w:r w:rsidR="006D00AF">
        <w:rPr>
          <w:sz w:val="24"/>
          <w:szCs w:val="24"/>
        </w:rPr>
        <w:t xml:space="preserve">dry </w:t>
      </w:r>
      <w:r w:rsidR="00E330F9">
        <w:rPr>
          <w:sz w:val="24"/>
          <w:szCs w:val="24"/>
        </w:rPr>
        <w:t>plant weights</w:t>
      </w:r>
      <w:r w:rsidR="006D00AF">
        <w:rPr>
          <w:sz w:val="24"/>
          <w:szCs w:val="24"/>
        </w:rPr>
        <w:t xml:space="preserve">, plant morality, and visual growth </w:t>
      </w:r>
      <w:r w:rsidR="00E330F9">
        <w:rPr>
          <w:sz w:val="24"/>
          <w:szCs w:val="24"/>
        </w:rPr>
        <w:t>reduction</w:t>
      </w:r>
      <w:r w:rsidR="006D00AF">
        <w:rPr>
          <w:sz w:val="24"/>
          <w:szCs w:val="24"/>
        </w:rPr>
        <w:t xml:space="preserve"> w</w:t>
      </w:r>
      <w:r w:rsidR="004B4D31">
        <w:rPr>
          <w:sz w:val="24"/>
          <w:szCs w:val="24"/>
        </w:rPr>
        <w:t>ere</w:t>
      </w:r>
      <w:r w:rsidR="006D00AF">
        <w:rPr>
          <w:sz w:val="24"/>
          <w:szCs w:val="24"/>
        </w:rPr>
        <w:t xml:space="preserve"> </w:t>
      </w:r>
      <w:r w:rsidR="004B4D31">
        <w:rPr>
          <w:sz w:val="24"/>
          <w:szCs w:val="24"/>
        </w:rPr>
        <w:t>determined</w:t>
      </w:r>
      <w:r w:rsidR="006D00AF">
        <w:rPr>
          <w:sz w:val="24"/>
          <w:szCs w:val="24"/>
        </w:rPr>
        <w:t xml:space="preserve"> 4 weeks after treatment.  Among th</w:t>
      </w:r>
      <w:r w:rsidR="00E330F9">
        <w:rPr>
          <w:sz w:val="24"/>
          <w:szCs w:val="24"/>
        </w:rPr>
        <w:t>os</w:t>
      </w:r>
      <w:r w:rsidR="006D00AF">
        <w:rPr>
          <w:sz w:val="24"/>
          <w:szCs w:val="24"/>
        </w:rPr>
        <w:t xml:space="preserve">e 11 populations there was a 7-fold difference in susceptibility to dicamba. </w:t>
      </w:r>
      <w:r w:rsidR="00E330F9">
        <w:rPr>
          <w:sz w:val="24"/>
          <w:szCs w:val="24"/>
        </w:rPr>
        <w:t>F</w:t>
      </w:r>
      <w:r w:rsidR="006D00AF">
        <w:rPr>
          <w:sz w:val="24"/>
          <w:szCs w:val="24"/>
        </w:rPr>
        <w:t xml:space="preserve">resh and dry </w:t>
      </w:r>
      <w:r w:rsidR="00E330F9">
        <w:rPr>
          <w:sz w:val="24"/>
          <w:szCs w:val="24"/>
        </w:rPr>
        <w:t xml:space="preserve">plant weights </w:t>
      </w:r>
      <w:r w:rsidR="006D00AF">
        <w:rPr>
          <w:sz w:val="24"/>
          <w:szCs w:val="24"/>
        </w:rPr>
        <w:t>were similar and the ED</w:t>
      </w:r>
      <w:r w:rsidR="006D00AF">
        <w:rPr>
          <w:sz w:val="24"/>
          <w:szCs w:val="24"/>
          <w:vertAlign w:val="subscript"/>
        </w:rPr>
        <w:t>50</w:t>
      </w:r>
      <w:r w:rsidR="006D00AF">
        <w:rPr>
          <w:sz w:val="24"/>
          <w:szCs w:val="24"/>
        </w:rPr>
        <w:t xml:space="preserve"> (effective dose required to cause 50% growth reduction) indicated that the least susceptible population required a</w:t>
      </w:r>
      <w:r w:rsidR="00A50176">
        <w:rPr>
          <w:sz w:val="24"/>
          <w:szCs w:val="24"/>
        </w:rPr>
        <w:t xml:space="preserve"> </w:t>
      </w:r>
      <w:r w:rsidR="006D00AF">
        <w:rPr>
          <w:sz w:val="24"/>
          <w:szCs w:val="24"/>
        </w:rPr>
        <w:t>7</w:t>
      </w:r>
      <w:r w:rsidR="00A50176">
        <w:rPr>
          <w:sz w:val="24"/>
          <w:szCs w:val="24"/>
        </w:rPr>
        <w:t>-times higher</w:t>
      </w:r>
      <w:r w:rsidR="006D00AF">
        <w:rPr>
          <w:sz w:val="24"/>
          <w:szCs w:val="24"/>
        </w:rPr>
        <w:t xml:space="preserve"> dose </w:t>
      </w:r>
      <w:r w:rsidR="00A50176">
        <w:rPr>
          <w:sz w:val="24"/>
          <w:szCs w:val="24"/>
        </w:rPr>
        <w:t xml:space="preserve">compared to the least susceptible population </w:t>
      </w:r>
      <w:r w:rsidR="006D00AF">
        <w:rPr>
          <w:sz w:val="24"/>
          <w:szCs w:val="24"/>
        </w:rPr>
        <w:t xml:space="preserve">to achieve an equal biomass reduction.  </w:t>
      </w:r>
      <w:r w:rsidR="00A50176">
        <w:rPr>
          <w:sz w:val="24"/>
          <w:szCs w:val="24"/>
        </w:rPr>
        <w:t xml:space="preserve">Dicamba at 0.5 lb/A (16 fl oz) provided only </w:t>
      </w:r>
      <w:r>
        <w:rPr>
          <w:sz w:val="24"/>
          <w:szCs w:val="24"/>
        </w:rPr>
        <w:t>2</w:t>
      </w:r>
      <w:r w:rsidR="00A50176">
        <w:rPr>
          <w:sz w:val="24"/>
          <w:szCs w:val="24"/>
        </w:rPr>
        <w:t xml:space="preserve">0% </w:t>
      </w:r>
      <w:r>
        <w:rPr>
          <w:sz w:val="24"/>
          <w:szCs w:val="24"/>
        </w:rPr>
        <w:t xml:space="preserve">mortality and </w:t>
      </w:r>
      <w:r w:rsidR="006D00AF">
        <w:rPr>
          <w:sz w:val="24"/>
          <w:szCs w:val="24"/>
        </w:rPr>
        <w:t xml:space="preserve">50% </w:t>
      </w:r>
      <w:r>
        <w:rPr>
          <w:sz w:val="24"/>
          <w:szCs w:val="24"/>
        </w:rPr>
        <w:t xml:space="preserve">reduction in biomass of surviving plants of the </w:t>
      </w:r>
      <w:r w:rsidR="006D00AF">
        <w:rPr>
          <w:sz w:val="24"/>
          <w:szCs w:val="24"/>
        </w:rPr>
        <w:t>least susceptible population</w:t>
      </w:r>
      <w:r w:rsidR="00FD7AC7">
        <w:rPr>
          <w:sz w:val="24"/>
          <w:szCs w:val="24"/>
        </w:rPr>
        <w:t>, which also is resistant to glyphosate</w:t>
      </w:r>
      <w:r w:rsidR="006D00AF">
        <w:rPr>
          <w:sz w:val="24"/>
          <w:szCs w:val="24"/>
        </w:rPr>
        <w:t xml:space="preserve">.  </w:t>
      </w:r>
      <w:r>
        <w:rPr>
          <w:sz w:val="24"/>
          <w:szCs w:val="24"/>
        </w:rPr>
        <w:t>This and other supporting evidence confirms dicamba-resist</w:t>
      </w:r>
      <w:r w:rsidR="002A61F0">
        <w:rPr>
          <w:sz w:val="24"/>
          <w:szCs w:val="24"/>
        </w:rPr>
        <w:t xml:space="preserve">ant kochia presence in Kansas and highlights the importance of </w:t>
      </w:r>
      <w:r w:rsidR="006D00AF">
        <w:rPr>
          <w:sz w:val="24"/>
          <w:szCs w:val="24"/>
        </w:rPr>
        <w:t xml:space="preserve">diverse management practices to prevent further evolution of kochia resistance to dicamba. </w:t>
      </w:r>
      <w:r w:rsidR="001A013C">
        <w:rPr>
          <w:sz w:val="24"/>
          <w:szCs w:val="24"/>
        </w:rPr>
        <w:t xml:space="preserve">The mechanism of resistance is not yet known, </w:t>
      </w:r>
      <w:r w:rsidR="005E387C">
        <w:rPr>
          <w:sz w:val="24"/>
          <w:szCs w:val="24"/>
        </w:rPr>
        <w:t>however</w:t>
      </w:r>
      <w:r w:rsidR="001A013C">
        <w:rPr>
          <w:sz w:val="24"/>
          <w:szCs w:val="24"/>
        </w:rPr>
        <w:t xml:space="preserve"> related research</w:t>
      </w:r>
      <w:r w:rsidR="005E387C">
        <w:rPr>
          <w:sz w:val="24"/>
          <w:szCs w:val="24"/>
        </w:rPr>
        <w:t xml:space="preserve"> on a population from Haskell County</w:t>
      </w:r>
      <w:r w:rsidR="00804874">
        <w:rPr>
          <w:sz w:val="24"/>
          <w:szCs w:val="24"/>
        </w:rPr>
        <w:t>,</w:t>
      </w:r>
      <w:r w:rsidR="005E387C">
        <w:rPr>
          <w:sz w:val="24"/>
          <w:szCs w:val="24"/>
        </w:rPr>
        <w:t xml:space="preserve"> Kansas indicates that dicamba resistance is </w:t>
      </w:r>
      <w:r w:rsidR="005E387C" w:rsidRPr="0015667C">
        <w:rPr>
          <w:sz w:val="24"/>
          <w:szCs w:val="24"/>
        </w:rPr>
        <w:t>not due to differences in uptake, translocation or metabolism of dicamba.</w:t>
      </w:r>
      <w:r w:rsidR="00FD7AC7">
        <w:rPr>
          <w:sz w:val="24"/>
          <w:szCs w:val="24"/>
        </w:rPr>
        <w:t xml:space="preserve"> Furthermore, another population from Finney County</w:t>
      </w:r>
      <w:r w:rsidR="00804874">
        <w:rPr>
          <w:sz w:val="24"/>
          <w:szCs w:val="24"/>
        </w:rPr>
        <w:t>,</w:t>
      </w:r>
      <w:r w:rsidR="00FD7AC7">
        <w:rPr>
          <w:sz w:val="24"/>
          <w:szCs w:val="24"/>
        </w:rPr>
        <w:t xml:space="preserve"> Kansas was found to be resistant to four herbicide modes of action: synthetic auxins (dicamba), ALS-inhibitors (sulfonylurea herbicides), PSII inhibitors (triazine herbicides), and EPSPS inhibitors (glyphosate).  This is the first reported case of resistance to four herbicide modes of action. </w:t>
      </w:r>
    </w:p>
    <w:p w:rsidR="006D00AF" w:rsidRPr="00984B83" w:rsidRDefault="006D00AF" w:rsidP="007F6140">
      <w:pPr>
        <w:rPr>
          <w:b/>
          <w:sz w:val="24"/>
          <w:szCs w:val="24"/>
        </w:rPr>
      </w:pPr>
    </w:p>
    <w:p w:rsidR="006D00AF" w:rsidRDefault="00984B83" w:rsidP="007F6140">
      <w:pPr>
        <w:rPr>
          <w:sz w:val="24"/>
          <w:szCs w:val="24"/>
        </w:rPr>
      </w:pPr>
      <w:r w:rsidRPr="00984B83">
        <w:rPr>
          <w:b/>
          <w:sz w:val="24"/>
          <w:szCs w:val="24"/>
        </w:rPr>
        <w:t>Pre</w:t>
      </w:r>
      <w:r w:rsidR="00C0000B">
        <w:rPr>
          <w:b/>
          <w:sz w:val="24"/>
          <w:szCs w:val="24"/>
        </w:rPr>
        <w:t>e</w:t>
      </w:r>
      <w:r w:rsidRPr="00984B83">
        <w:rPr>
          <w:b/>
          <w:sz w:val="24"/>
          <w:szCs w:val="24"/>
        </w:rPr>
        <w:t xml:space="preserve">mergence versus postemergence </w:t>
      </w:r>
      <w:r>
        <w:rPr>
          <w:b/>
          <w:sz w:val="24"/>
          <w:szCs w:val="24"/>
        </w:rPr>
        <w:t>k</w:t>
      </w:r>
      <w:r w:rsidRPr="00984B83">
        <w:rPr>
          <w:b/>
          <w:sz w:val="24"/>
          <w:szCs w:val="24"/>
        </w:rPr>
        <w:t>ochia control with dicamba.</w:t>
      </w:r>
      <w:r>
        <w:rPr>
          <w:sz w:val="24"/>
          <w:szCs w:val="24"/>
        </w:rPr>
        <w:t xml:space="preserve"> Dicamba is most</w:t>
      </w:r>
      <w:r w:rsidR="009B543C">
        <w:rPr>
          <w:sz w:val="24"/>
          <w:szCs w:val="24"/>
        </w:rPr>
        <w:t xml:space="preserve"> commonly used as a postemergence </w:t>
      </w:r>
      <w:r>
        <w:rPr>
          <w:sz w:val="24"/>
          <w:szCs w:val="24"/>
        </w:rPr>
        <w:t>herbicide but</w:t>
      </w:r>
      <w:r w:rsidR="009B543C">
        <w:rPr>
          <w:sz w:val="24"/>
          <w:szCs w:val="24"/>
        </w:rPr>
        <w:t xml:space="preserve"> field </w:t>
      </w:r>
      <w:r>
        <w:rPr>
          <w:sz w:val="24"/>
          <w:szCs w:val="24"/>
        </w:rPr>
        <w:t xml:space="preserve">research in 2010 and 2011 determined that dicamba </w:t>
      </w:r>
      <w:r w:rsidR="009B543C">
        <w:rPr>
          <w:sz w:val="24"/>
          <w:szCs w:val="24"/>
        </w:rPr>
        <w:t>controlled kochia better when applied preemergence than when applied postemergence.</w:t>
      </w:r>
      <w:r>
        <w:rPr>
          <w:sz w:val="24"/>
          <w:szCs w:val="24"/>
        </w:rPr>
        <w:t xml:space="preserve"> </w:t>
      </w:r>
      <w:r w:rsidR="00BD35FF">
        <w:rPr>
          <w:sz w:val="24"/>
          <w:szCs w:val="24"/>
        </w:rPr>
        <w:t xml:space="preserve">However, sometimes control was not complete raising concern that preemergence-applied dicamba could select for higher-level resistance than has resulted from postemergence use.  The response of three kochia accessions </w:t>
      </w:r>
      <w:r w:rsidR="00675C7C">
        <w:rPr>
          <w:sz w:val="24"/>
          <w:szCs w:val="24"/>
        </w:rPr>
        <w:t xml:space="preserve">from Pratt, Greely, and Gray Counties in Kansas </w:t>
      </w:r>
      <w:r w:rsidR="00BD35FF">
        <w:rPr>
          <w:sz w:val="24"/>
          <w:szCs w:val="24"/>
        </w:rPr>
        <w:t xml:space="preserve">to preemergence and postemergence </w:t>
      </w:r>
      <w:r w:rsidR="00675C7C">
        <w:rPr>
          <w:sz w:val="24"/>
          <w:szCs w:val="24"/>
        </w:rPr>
        <w:t xml:space="preserve">dicamba </w:t>
      </w:r>
      <w:r w:rsidR="00BD35FF">
        <w:rPr>
          <w:sz w:val="24"/>
          <w:szCs w:val="24"/>
        </w:rPr>
        <w:t xml:space="preserve">applications were tested in </w:t>
      </w:r>
      <w:r w:rsidR="003831C6">
        <w:rPr>
          <w:sz w:val="24"/>
          <w:szCs w:val="24"/>
        </w:rPr>
        <w:t xml:space="preserve">replicated and repeated </w:t>
      </w:r>
      <w:r w:rsidR="00BD35FF">
        <w:rPr>
          <w:sz w:val="24"/>
          <w:szCs w:val="24"/>
        </w:rPr>
        <w:t xml:space="preserve">greenhouse experiments. </w:t>
      </w:r>
      <w:r w:rsidR="000917A2">
        <w:rPr>
          <w:sz w:val="24"/>
          <w:szCs w:val="24"/>
        </w:rPr>
        <w:t xml:space="preserve">Results confirmed earlier findings that dicamba was considerably </w:t>
      </w:r>
      <w:r w:rsidR="00E6268E">
        <w:rPr>
          <w:sz w:val="24"/>
          <w:szCs w:val="24"/>
        </w:rPr>
        <w:t xml:space="preserve">more </w:t>
      </w:r>
      <w:r w:rsidR="000917A2">
        <w:rPr>
          <w:sz w:val="24"/>
          <w:szCs w:val="24"/>
        </w:rPr>
        <w:t xml:space="preserve">effective when applied preemergence than when applied postemergence, </w:t>
      </w:r>
      <w:r w:rsidR="00E6268E">
        <w:rPr>
          <w:sz w:val="24"/>
          <w:szCs w:val="24"/>
        </w:rPr>
        <w:t xml:space="preserve">both in terms of plant mortality </w:t>
      </w:r>
      <w:r w:rsidR="005B36AD">
        <w:rPr>
          <w:sz w:val="24"/>
          <w:szCs w:val="24"/>
        </w:rPr>
        <w:t xml:space="preserve">(Figure 1) </w:t>
      </w:r>
      <w:r w:rsidR="00E6268E">
        <w:rPr>
          <w:sz w:val="24"/>
          <w:szCs w:val="24"/>
        </w:rPr>
        <w:t xml:space="preserve">and plant fresh weight </w:t>
      </w:r>
      <w:r w:rsidR="005B36AD">
        <w:rPr>
          <w:sz w:val="24"/>
          <w:szCs w:val="24"/>
        </w:rPr>
        <w:t>(Figure 2)</w:t>
      </w:r>
      <w:r w:rsidR="00E6268E">
        <w:rPr>
          <w:sz w:val="24"/>
          <w:szCs w:val="24"/>
        </w:rPr>
        <w:t xml:space="preserve">.  </w:t>
      </w:r>
      <w:r w:rsidR="00BD35FF">
        <w:rPr>
          <w:sz w:val="24"/>
          <w:szCs w:val="24"/>
        </w:rPr>
        <w:t xml:space="preserve"> </w:t>
      </w:r>
      <w:r w:rsidR="00675C7C">
        <w:rPr>
          <w:sz w:val="24"/>
          <w:szCs w:val="24"/>
        </w:rPr>
        <w:t xml:space="preserve">There were differences among the accessions in response to dicamba.  </w:t>
      </w:r>
      <w:r w:rsidR="004B4D31">
        <w:rPr>
          <w:sz w:val="24"/>
          <w:szCs w:val="24"/>
        </w:rPr>
        <w:t>Preemergence-applied dicamba a</w:t>
      </w:r>
      <w:r>
        <w:rPr>
          <w:sz w:val="24"/>
          <w:szCs w:val="24"/>
        </w:rPr>
        <w:t xml:space="preserve"> </w:t>
      </w:r>
      <w:r w:rsidR="004B4D31">
        <w:rPr>
          <w:sz w:val="24"/>
          <w:szCs w:val="24"/>
        </w:rPr>
        <w:t>0.375 lb/A (6 fl oz)</w:t>
      </w:r>
      <w:r>
        <w:rPr>
          <w:sz w:val="24"/>
          <w:szCs w:val="24"/>
        </w:rPr>
        <w:t xml:space="preserve"> </w:t>
      </w:r>
      <w:r w:rsidR="00675C7C">
        <w:rPr>
          <w:sz w:val="24"/>
          <w:szCs w:val="24"/>
        </w:rPr>
        <w:t xml:space="preserve">provided 95% mortality of the Pratt Co. accession compared to 84 and 87% </w:t>
      </w:r>
      <w:r w:rsidR="00675C7C">
        <w:rPr>
          <w:sz w:val="24"/>
          <w:szCs w:val="24"/>
        </w:rPr>
        <w:lastRenderedPageBreak/>
        <w:t xml:space="preserve">mortality for the Greeley and Gray Co. accessions, respectively (Figure1).  Mortality of all three accessions was increased slightly by increasing dicamba doseage to 0.5 lb/A (8 fl oz).  </w:t>
      </w:r>
    </w:p>
    <w:p w:rsidR="006D00AF" w:rsidRDefault="006D00AF" w:rsidP="007F6140">
      <w:pPr>
        <w:rPr>
          <w:sz w:val="24"/>
          <w:szCs w:val="24"/>
        </w:rPr>
      </w:pPr>
    </w:p>
    <w:p w:rsidR="006D00AF" w:rsidRDefault="004255E0" w:rsidP="007F6140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648075" cy="2647950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D00AF" w:rsidRDefault="006D00AF" w:rsidP="007F6140"/>
    <w:p w:rsidR="00675C7C" w:rsidRDefault="00E6268E" w:rsidP="007F6140">
      <w:r w:rsidRPr="005B36AD">
        <w:rPr>
          <w:sz w:val="24"/>
          <w:szCs w:val="24"/>
        </w:rPr>
        <w:t xml:space="preserve">Figure 1. Number of live plants per treated area for three kochia accessions </w:t>
      </w:r>
      <w:r w:rsidR="005B36AD" w:rsidRPr="005B36AD">
        <w:rPr>
          <w:sz w:val="24"/>
          <w:szCs w:val="24"/>
        </w:rPr>
        <w:t>in response to dicamba treatmen</w:t>
      </w:r>
      <w:r w:rsidR="005B36AD">
        <w:t xml:space="preserve">t.  </w:t>
      </w:r>
    </w:p>
    <w:p w:rsidR="00675C7C" w:rsidRDefault="00675C7C" w:rsidP="007F6140"/>
    <w:p w:rsidR="00675C7C" w:rsidRDefault="00675C7C" w:rsidP="007F6140"/>
    <w:p w:rsidR="00FE591E" w:rsidRDefault="00675C7C" w:rsidP="007F6140">
      <w:pPr>
        <w:rPr>
          <w:sz w:val="24"/>
          <w:szCs w:val="24"/>
        </w:rPr>
      </w:pPr>
      <w:r w:rsidRPr="00582C53">
        <w:rPr>
          <w:sz w:val="24"/>
          <w:szCs w:val="24"/>
        </w:rPr>
        <w:t xml:space="preserve">The Greeley and Gray Co. accessions were much less susceptible to postemergence-applied dicamba than the Pratt Co. accession (Figure 2).  </w:t>
      </w:r>
      <w:r w:rsidR="00582C53">
        <w:rPr>
          <w:sz w:val="24"/>
          <w:szCs w:val="24"/>
        </w:rPr>
        <w:t>Dicamba at 0.5 lb/A (8 fl oz) reduced plant fresh weight of the Pratt Co. accession by 39%</w:t>
      </w:r>
      <w:r w:rsidR="00276479">
        <w:rPr>
          <w:sz w:val="24"/>
          <w:szCs w:val="24"/>
        </w:rPr>
        <w:t xml:space="preserve"> compared to only 14 and 7% reductions, respectively, for the Greeley and Gray Co. accessions. </w:t>
      </w:r>
    </w:p>
    <w:p w:rsidR="00E330F9" w:rsidRDefault="00E330F9" w:rsidP="007F6140">
      <w:pPr>
        <w:rPr>
          <w:color w:val="000000"/>
          <w:sz w:val="24"/>
          <w:szCs w:val="24"/>
        </w:rPr>
      </w:pPr>
    </w:p>
    <w:p w:rsidR="005B36AD" w:rsidRDefault="004255E0" w:rsidP="001A617E">
      <w:r>
        <w:rPr>
          <w:noProof/>
        </w:rPr>
        <w:drawing>
          <wp:inline distT="0" distB="0" distL="0" distR="0">
            <wp:extent cx="3629025" cy="2647950"/>
            <wp:effectExtent l="0" t="0" r="0" b="0"/>
            <wp:docPr id="2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36AD" w:rsidRPr="005B36AD" w:rsidRDefault="005B36AD" w:rsidP="001A617E">
      <w:pPr>
        <w:rPr>
          <w:sz w:val="24"/>
          <w:szCs w:val="24"/>
        </w:rPr>
      </w:pPr>
      <w:r w:rsidRPr="005B36AD">
        <w:rPr>
          <w:sz w:val="24"/>
          <w:szCs w:val="24"/>
        </w:rPr>
        <w:t xml:space="preserve">Figure 2. Plant fresh weight per treated area for three kochia accessions in response to dicamba treatment. </w:t>
      </w:r>
    </w:p>
    <w:p w:rsidR="003678F6" w:rsidRDefault="003678F6" w:rsidP="0017095C">
      <w:pPr>
        <w:pStyle w:val="Normal0"/>
        <w:rPr>
          <w:rFonts w:ascii="Times New Roman" w:hAnsi="Times New Roman" w:cs="Times New Roman"/>
          <w:b/>
        </w:rPr>
      </w:pPr>
    </w:p>
    <w:p w:rsidR="00E330F9" w:rsidRDefault="00CB5F61" w:rsidP="00E330F9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This experiment confirmed the effectiveness of preemergence-applied dicamba in controlling kochia but also found differences in effectiveness among the accessions tested.  Th</w:t>
      </w:r>
      <w:r w:rsidR="00E330F9">
        <w:rPr>
          <w:sz w:val="24"/>
          <w:szCs w:val="24"/>
        </w:rPr>
        <w:t xml:space="preserve">e implications are that dicamba should </w:t>
      </w:r>
      <w:r>
        <w:rPr>
          <w:sz w:val="24"/>
          <w:szCs w:val="24"/>
        </w:rPr>
        <w:t xml:space="preserve">only </w:t>
      </w:r>
      <w:r w:rsidR="00E330F9">
        <w:rPr>
          <w:sz w:val="24"/>
          <w:szCs w:val="24"/>
        </w:rPr>
        <w:t xml:space="preserve">be used in combination with another herbicide mode of action to </w:t>
      </w:r>
      <w:r>
        <w:rPr>
          <w:sz w:val="24"/>
          <w:szCs w:val="24"/>
        </w:rPr>
        <w:t xml:space="preserve">prevent </w:t>
      </w:r>
      <w:r w:rsidR="00E330F9">
        <w:rPr>
          <w:sz w:val="24"/>
          <w:szCs w:val="24"/>
        </w:rPr>
        <w:t xml:space="preserve">selection for dicamba resistance.  </w:t>
      </w:r>
    </w:p>
    <w:p w:rsidR="00C30710" w:rsidRPr="009E5511" w:rsidRDefault="00C30710" w:rsidP="001C0FBA">
      <w:pPr>
        <w:rPr>
          <w:b/>
          <w:sz w:val="24"/>
          <w:szCs w:val="24"/>
        </w:rPr>
      </w:pPr>
    </w:p>
    <w:p w:rsidR="003A279B" w:rsidRPr="009E5511" w:rsidRDefault="00FF4A18" w:rsidP="001C0FBA">
      <w:pPr>
        <w:rPr>
          <w:sz w:val="24"/>
          <w:szCs w:val="24"/>
        </w:rPr>
      </w:pPr>
      <w:r w:rsidRPr="009E5511">
        <w:rPr>
          <w:b/>
          <w:sz w:val="24"/>
          <w:szCs w:val="24"/>
        </w:rPr>
        <w:t xml:space="preserve">Outreach. </w:t>
      </w:r>
      <w:r w:rsidR="00E03EC1" w:rsidRPr="009E5511">
        <w:rPr>
          <w:sz w:val="24"/>
          <w:szCs w:val="24"/>
        </w:rPr>
        <w:t xml:space="preserve"> </w:t>
      </w:r>
      <w:r w:rsidR="00A838F2" w:rsidRPr="009E5511">
        <w:rPr>
          <w:sz w:val="24"/>
          <w:szCs w:val="24"/>
        </w:rPr>
        <w:t xml:space="preserve">The principal investigator </w:t>
      </w:r>
      <w:r w:rsidR="00E641AF">
        <w:rPr>
          <w:sz w:val="24"/>
          <w:szCs w:val="24"/>
        </w:rPr>
        <w:t xml:space="preserve">or his students </w:t>
      </w:r>
      <w:r w:rsidR="00A838F2" w:rsidRPr="009E5511">
        <w:rPr>
          <w:sz w:val="24"/>
          <w:szCs w:val="24"/>
        </w:rPr>
        <w:t xml:space="preserve">presented </w:t>
      </w:r>
      <w:r w:rsidR="00E641AF">
        <w:rPr>
          <w:sz w:val="24"/>
          <w:szCs w:val="24"/>
        </w:rPr>
        <w:t>eight</w:t>
      </w:r>
      <w:r w:rsidR="00A838F2" w:rsidRPr="009E5511">
        <w:rPr>
          <w:sz w:val="24"/>
          <w:szCs w:val="24"/>
        </w:rPr>
        <w:t xml:space="preserve"> times on kochia management at professional meetings and 12 times at field days, retailer, consultant</w:t>
      </w:r>
      <w:r w:rsidR="008A6A3C" w:rsidRPr="009E5511">
        <w:rPr>
          <w:sz w:val="24"/>
          <w:szCs w:val="24"/>
        </w:rPr>
        <w:t>, and</w:t>
      </w:r>
      <w:r w:rsidR="00A838F2" w:rsidRPr="009E5511">
        <w:rPr>
          <w:sz w:val="24"/>
          <w:szCs w:val="24"/>
        </w:rPr>
        <w:t xml:space="preserve"> extension meetings</w:t>
      </w:r>
      <w:r w:rsidR="0091443B" w:rsidRPr="009E5511">
        <w:rPr>
          <w:sz w:val="24"/>
          <w:szCs w:val="24"/>
        </w:rPr>
        <w:t xml:space="preserve"> </w:t>
      </w:r>
      <w:r w:rsidR="00E641AF">
        <w:rPr>
          <w:sz w:val="24"/>
          <w:szCs w:val="24"/>
        </w:rPr>
        <w:t xml:space="preserve">in Kansas, Colorado and South Dakota. </w:t>
      </w:r>
      <w:r w:rsidR="0091443B" w:rsidRPr="009E5511">
        <w:rPr>
          <w:sz w:val="24"/>
          <w:szCs w:val="24"/>
        </w:rPr>
        <w:t xml:space="preserve"> </w:t>
      </w:r>
      <w:r w:rsidR="00F162E6" w:rsidRPr="009E5511">
        <w:rPr>
          <w:sz w:val="24"/>
          <w:szCs w:val="24"/>
        </w:rPr>
        <w:t xml:space="preserve"> </w:t>
      </w:r>
    </w:p>
    <w:sectPr w:rsidR="003A279B" w:rsidRPr="009E551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9D0" w:rsidRDefault="00AC49D0" w:rsidP="00322C59">
      <w:r>
        <w:separator/>
      </w:r>
    </w:p>
  </w:endnote>
  <w:endnote w:type="continuationSeparator" w:id="0">
    <w:p w:rsidR="00AC49D0" w:rsidRDefault="00AC49D0" w:rsidP="0032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9D0" w:rsidRDefault="00AC49D0" w:rsidP="00322C59">
      <w:r>
        <w:separator/>
      </w:r>
    </w:p>
  </w:footnote>
  <w:footnote w:type="continuationSeparator" w:id="0">
    <w:p w:rsidR="00AC49D0" w:rsidRDefault="00AC49D0" w:rsidP="00322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2DB3"/>
    <w:multiLevelType w:val="hybridMultilevel"/>
    <w:tmpl w:val="1EDAF2AC"/>
    <w:lvl w:ilvl="0" w:tplc="E65ABD5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46AC5"/>
    <w:multiLevelType w:val="hybridMultilevel"/>
    <w:tmpl w:val="5628B2E0"/>
    <w:lvl w:ilvl="0" w:tplc="A3125820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0449F"/>
    <w:multiLevelType w:val="hybridMultilevel"/>
    <w:tmpl w:val="9B9C307C"/>
    <w:lvl w:ilvl="0" w:tplc="2D3E094A">
      <w:start w:val="1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01"/>
    <w:rsid w:val="00001C97"/>
    <w:rsid w:val="000279FC"/>
    <w:rsid w:val="00030127"/>
    <w:rsid w:val="00030A28"/>
    <w:rsid w:val="00033EC8"/>
    <w:rsid w:val="00042306"/>
    <w:rsid w:val="000530E4"/>
    <w:rsid w:val="00056714"/>
    <w:rsid w:val="00071DDE"/>
    <w:rsid w:val="00075B88"/>
    <w:rsid w:val="000760F5"/>
    <w:rsid w:val="00080DC0"/>
    <w:rsid w:val="00083A55"/>
    <w:rsid w:val="000917A2"/>
    <w:rsid w:val="000B0720"/>
    <w:rsid w:val="000E73B0"/>
    <w:rsid w:val="000F0882"/>
    <w:rsid w:val="000F4B43"/>
    <w:rsid w:val="00101CFD"/>
    <w:rsid w:val="00103158"/>
    <w:rsid w:val="001042E0"/>
    <w:rsid w:val="001042FC"/>
    <w:rsid w:val="001056CF"/>
    <w:rsid w:val="001078B4"/>
    <w:rsid w:val="00110A2C"/>
    <w:rsid w:val="001137A7"/>
    <w:rsid w:val="00114C28"/>
    <w:rsid w:val="00142C56"/>
    <w:rsid w:val="001703FC"/>
    <w:rsid w:val="001707AB"/>
    <w:rsid w:val="0017095C"/>
    <w:rsid w:val="00192821"/>
    <w:rsid w:val="00193B82"/>
    <w:rsid w:val="00197E5D"/>
    <w:rsid w:val="001A013C"/>
    <w:rsid w:val="001A3276"/>
    <w:rsid w:val="001A617E"/>
    <w:rsid w:val="001B6490"/>
    <w:rsid w:val="001C0FBA"/>
    <w:rsid w:val="001C4A37"/>
    <w:rsid w:val="001C7284"/>
    <w:rsid w:val="001D3D15"/>
    <w:rsid w:val="001E7DB6"/>
    <w:rsid w:val="00206D53"/>
    <w:rsid w:val="00207B27"/>
    <w:rsid w:val="00232225"/>
    <w:rsid w:val="00236A1C"/>
    <w:rsid w:val="00260BD9"/>
    <w:rsid w:val="0027375D"/>
    <w:rsid w:val="00276479"/>
    <w:rsid w:val="00280FAA"/>
    <w:rsid w:val="002839A1"/>
    <w:rsid w:val="002852CE"/>
    <w:rsid w:val="00297800"/>
    <w:rsid w:val="002A3659"/>
    <w:rsid w:val="002A61F0"/>
    <w:rsid w:val="002C3592"/>
    <w:rsid w:val="002C3F60"/>
    <w:rsid w:val="002D0D94"/>
    <w:rsid w:val="00303CE5"/>
    <w:rsid w:val="0031161A"/>
    <w:rsid w:val="00322C59"/>
    <w:rsid w:val="0033113E"/>
    <w:rsid w:val="00344891"/>
    <w:rsid w:val="00357B14"/>
    <w:rsid w:val="003602DB"/>
    <w:rsid w:val="003678F6"/>
    <w:rsid w:val="00381C2A"/>
    <w:rsid w:val="00382105"/>
    <w:rsid w:val="003831C6"/>
    <w:rsid w:val="00385438"/>
    <w:rsid w:val="0038747C"/>
    <w:rsid w:val="00392B36"/>
    <w:rsid w:val="00393FC5"/>
    <w:rsid w:val="003A279B"/>
    <w:rsid w:val="003A63DD"/>
    <w:rsid w:val="003B3018"/>
    <w:rsid w:val="003C4D78"/>
    <w:rsid w:val="003D1C94"/>
    <w:rsid w:val="003D358A"/>
    <w:rsid w:val="003E1DC8"/>
    <w:rsid w:val="003E432B"/>
    <w:rsid w:val="00415A9C"/>
    <w:rsid w:val="004255E0"/>
    <w:rsid w:val="00430AAF"/>
    <w:rsid w:val="00442269"/>
    <w:rsid w:val="00443AA6"/>
    <w:rsid w:val="00464F29"/>
    <w:rsid w:val="00495DF2"/>
    <w:rsid w:val="004A6590"/>
    <w:rsid w:val="004B3318"/>
    <w:rsid w:val="004B4A04"/>
    <w:rsid w:val="004B4D31"/>
    <w:rsid w:val="004B67C2"/>
    <w:rsid w:val="004D3EF8"/>
    <w:rsid w:val="004E23BC"/>
    <w:rsid w:val="004E5C39"/>
    <w:rsid w:val="004F16E8"/>
    <w:rsid w:val="004F1A9B"/>
    <w:rsid w:val="004F74D6"/>
    <w:rsid w:val="0050143E"/>
    <w:rsid w:val="00501780"/>
    <w:rsid w:val="005639D5"/>
    <w:rsid w:val="0057253A"/>
    <w:rsid w:val="00577283"/>
    <w:rsid w:val="00582C53"/>
    <w:rsid w:val="00593D5D"/>
    <w:rsid w:val="005B36AD"/>
    <w:rsid w:val="005D1886"/>
    <w:rsid w:val="005D28ED"/>
    <w:rsid w:val="005D5F26"/>
    <w:rsid w:val="005E387C"/>
    <w:rsid w:val="005F3710"/>
    <w:rsid w:val="00605285"/>
    <w:rsid w:val="00610284"/>
    <w:rsid w:val="006109C3"/>
    <w:rsid w:val="0062592C"/>
    <w:rsid w:val="00630B2C"/>
    <w:rsid w:val="00655E4D"/>
    <w:rsid w:val="00675C7C"/>
    <w:rsid w:val="006A0826"/>
    <w:rsid w:val="006A2544"/>
    <w:rsid w:val="006A6A50"/>
    <w:rsid w:val="006B1A2A"/>
    <w:rsid w:val="006B365C"/>
    <w:rsid w:val="006B4CFF"/>
    <w:rsid w:val="006C0189"/>
    <w:rsid w:val="006C42BD"/>
    <w:rsid w:val="006C79F8"/>
    <w:rsid w:val="006D00AF"/>
    <w:rsid w:val="006E34F2"/>
    <w:rsid w:val="006F1AFC"/>
    <w:rsid w:val="00706528"/>
    <w:rsid w:val="007279E5"/>
    <w:rsid w:val="00727DF1"/>
    <w:rsid w:val="00731E2D"/>
    <w:rsid w:val="00732DA0"/>
    <w:rsid w:val="00746939"/>
    <w:rsid w:val="007B244B"/>
    <w:rsid w:val="007B328C"/>
    <w:rsid w:val="007B33B6"/>
    <w:rsid w:val="007D7306"/>
    <w:rsid w:val="007E225F"/>
    <w:rsid w:val="007E3B49"/>
    <w:rsid w:val="007F6140"/>
    <w:rsid w:val="00804874"/>
    <w:rsid w:val="008162C2"/>
    <w:rsid w:val="00825D7D"/>
    <w:rsid w:val="00840674"/>
    <w:rsid w:val="00871933"/>
    <w:rsid w:val="00874FAF"/>
    <w:rsid w:val="008814D2"/>
    <w:rsid w:val="0088165E"/>
    <w:rsid w:val="0089282F"/>
    <w:rsid w:val="008A6A3C"/>
    <w:rsid w:val="008B00A6"/>
    <w:rsid w:val="008B5D6D"/>
    <w:rsid w:val="008E74AE"/>
    <w:rsid w:val="008E78A6"/>
    <w:rsid w:val="008E78AF"/>
    <w:rsid w:val="008F263C"/>
    <w:rsid w:val="00904015"/>
    <w:rsid w:val="0091443B"/>
    <w:rsid w:val="00924A63"/>
    <w:rsid w:val="009528C6"/>
    <w:rsid w:val="00962082"/>
    <w:rsid w:val="009766EA"/>
    <w:rsid w:val="00976D62"/>
    <w:rsid w:val="00984B83"/>
    <w:rsid w:val="00984C6A"/>
    <w:rsid w:val="009954C4"/>
    <w:rsid w:val="009B543C"/>
    <w:rsid w:val="009C05C0"/>
    <w:rsid w:val="009E3325"/>
    <w:rsid w:val="009E5511"/>
    <w:rsid w:val="009F5F68"/>
    <w:rsid w:val="00A00909"/>
    <w:rsid w:val="00A07A03"/>
    <w:rsid w:val="00A14924"/>
    <w:rsid w:val="00A30758"/>
    <w:rsid w:val="00A42F4F"/>
    <w:rsid w:val="00A50176"/>
    <w:rsid w:val="00A53530"/>
    <w:rsid w:val="00A54E2D"/>
    <w:rsid w:val="00A55B38"/>
    <w:rsid w:val="00A64D55"/>
    <w:rsid w:val="00A81F50"/>
    <w:rsid w:val="00A838F2"/>
    <w:rsid w:val="00A847A6"/>
    <w:rsid w:val="00A9281B"/>
    <w:rsid w:val="00AA1D22"/>
    <w:rsid w:val="00AA78C8"/>
    <w:rsid w:val="00AC103B"/>
    <w:rsid w:val="00AC49D0"/>
    <w:rsid w:val="00B04DD9"/>
    <w:rsid w:val="00B33FF6"/>
    <w:rsid w:val="00B366EB"/>
    <w:rsid w:val="00B455C7"/>
    <w:rsid w:val="00B4748F"/>
    <w:rsid w:val="00B6611E"/>
    <w:rsid w:val="00B66814"/>
    <w:rsid w:val="00B67BA3"/>
    <w:rsid w:val="00B72533"/>
    <w:rsid w:val="00B77E2F"/>
    <w:rsid w:val="00B81701"/>
    <w:rsid w:val="00B863FD"/>
    <w:rsid w:val="00B97CCF"/>
    <w:rsid w:val="00BA4DB3"/>
    <w:rsid w:val="00BD35FF"/>
    <w:rsid w:val="00C0000B"/>
    <w:rsid w:val="00C05AD9"/>
    <w:rsid w:val="00C16088"/>
    <w:rsid w:val="00C21FA4"/>
    <w:rsid w:val="00C22DA6"/>
    <w:rsid w:val="00C27FEA"/>
    <w:rsid w:val="00C30710"/>
    <w:rsid w:val="00C32725"/>
    <w:rsid w:val="00C32D1C"/>
    <w:rsid w:val="00C42C91"/>
    <w:rsid w:val="00C560C9"/>
    <w:rsid w:val="00C65136"/>
    <w:rsid w:val="00C71DEC"/>
    <w:rsid w:val="00C8294A"/>
    <w:rsid w:val="00C86C60"/>
    <w:rsid w:val="00C91E74"/>
    <w:rsid w:val="00C923FC"/>
    <w:rsid w:val="00C95B34"/>
    <w:rsid w:val="00CB0177"/>
    <w:rsid w:val="00CB5F61"/>
    <w:rsid w:val="00CB639B"/>
    <w:rsid w:val="00CC3C9D"/>
    <w:rsid w:val="00CD013F"/>
    <w:rsid w:val="00CD0AEE"/>
    <w:rsid w:val="00CE2CA4"/>
    <w:rsid w:val="00CE2F46"/>
    <w:rsid w:val="00CE3CF7"/>
    <w:rsid w:val="00CF0A07"/>
    <w:rsid w:val="00D039A7"/>
    <w:rsid w:val="00D05BF8"/>
    <w:rsid w:val="00D12172"/>
    <w:rsid w:val="00D13EC0"/>
    <w:rsid w:val="00D24138"/>
    <w:rsid w:val="00D25749"/>
    <w:rsid w:val="00D3143F"/>
    <w:rsid w:val="00D37016"/>
    <w:rsid w:val="00D40CA9"/>
    <w:rsid w:val="00D4658F"/>
    <w:rsid w:val="00D542F1"/>
    <w:rsid w:val="00D61AE2"/>
    <w:rsid w:val="00D64ECF"/>
    <w:rsid w:val="00D662B2"/>
    <w:rsid w:val="00D67DB9"/>
    <w:rsid w:val="00D71AC1"/>
    <w:rsid w:val="00DA0836"/>
    <w:rsid w:val="00DB21B0"/>
    <w:rsid w:val="00DB2A02"/>
    <w:rsid w:val="00DB59DA"/>
    <w:rsid w:val="00DB5DC2"/>
    <w:rsid w:val="00DC02A9"/>
    <w:rsid w:val="00DD125B"/>
    <w:rsid w:val="00DD136E"/>
    <w:rsid w:val="00DE2259"/>
    <w:rsid w:val="00DF2D8F"/>
    <w:rsid w:val="00E026B1"/>
    <w:rsid w:val="00E0292B"/>
    <w:rsid w:val="00E035EB"/>
    <w:rsid w:val="00E03EC1"/>
    <w:rsid w:val="00E140A2"/>
    <w:rsid w:val="00E162D7"/>
    <w:rsid w:val="00E219F3"/>
    <w:rsid w:val="00E330F9"/>
    <w:rsid w:val="00E444C0"/>
    <w:rsid w:val="00E47F6F"/>
    <w:rsid w:val="00E53A7A"/>
    <w:rsid w:val="00E56CD4"/>
    <w:rsid w:val="00E60BD2"/>
    <w:rsid w:val="00E6268E"/>
    <w:rsid w:val="00E641AF"/>
    <w:rsid w:val="00E848B6"/>
    <w:rsid w:val="00E85020"/>
    <w:rsid w:val="00E853C2"/>
    <w:rsid w:val="00E90027"/>
    <w:rsid w:val="00EB3BF6"/>
    <w:rsid w:val="00EB6F44"/>
    <w:rsid w:val="00EF33A3"/>
    <w:rsid w:val="00EF45FA"/>
    <w:rsid w:val="00F046D4"/>
    <w:rsid w:val="00F049A3"/>
    <w:rsid w:val="00F06F40"/>
    <w:rsid w:val="00F162E6"/>
    <w:rsid w:val="00F31519"/>
    <w:rsid w:val="00F36C4D"/>
    <w:rsid w:val="00F62DF0"/>
    <w:rsid w:val="00F647BC"/>
    <w:rsid w:val="00F91720"/>
    <w:rsid w:val="00F92629"/>
    <w:rsid w:val="00FB387D"/>
    <w:rsid w:val="00FC77C8"/>
    <w:rsid w:val="00FD7AC7"/>
    <w:rsid w:val="00FE591E"/>
    <w:rsid w:val="00FE5DA1"/>
    <w:rsid w:val="00FF4A18"/>
    <w:rsid w:val="00FF50FD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9BD10D-CBC0-47D4-AD9B-53E1C8DF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NormalWeb">
    <w:name w:val="Normal (Web)"/>
    <w:basedOn w:val="Normal"/>
    <w:uiPriority w:val="99"/>
    <w:unhideWhenUsed/>
    <w:rsid w:val="00BA4DB3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E0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00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C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C59"/>
  </w:style>
  <w:style w:type="paragraph" w:styleId="Footer">
    <w:name w:val="footer"/>
    <w:basedOn w:val="Normal"/>
    <w:link w:val="FooterChar"/>
    <w:uiPriority w:val="99"/>
    <w:unhideWhenUsed/>
    <w:rsid w:val="00322C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C59"/>
  </w:style>
  <w:style w:type="paragraph" w:customStyle="1" w:styleId="Normal0">
    <w:name w:val="[Normal]"/>
    <w:rsid w:val="00FE5D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37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0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0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0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70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multiLvlStrRef>
              <c:f>Sheet1!$A$2:$B$15</c:f>
              <c:multiLvlStrCache>
                <c:ptCount val="14"/>
                <c:lvl>
                  <c:pt idx="0">
                    <c:v>Untreated</c:v>
                  </c:pt>
                  <c:pt idx="1">
                    <c:v>6 oz PRE</c:v>
                  </c:pt>
                  <c:pt idx="2">
                    <c:v>8 oz PRE</c:v>
                  </c:pt>
                  <c:pt idx="3">
                    <c:v>8 oz POST</c:v>
                  </c:pt>
                  <c:pt idx="5">
                    <c:v>Untreated</c:v>
                  </c:pt>
                  <c:pt idx="6">
                    <c:v>6 oz PRE</c:v>
                  </c:pt>
                  <c:pt idx="7">
                    <c:v>8 oz PRE</c:v>
                  </c:pt>
                  <c:pt idx="8">
                    <c:v>8 oz POST</c:v>
                  </c:pt>
                  <c:pt idx="10">
                    <c:v>Untreated</c:v>
                  </c:pt>
                  <c:pt idx="11">
                    <c:v>6 oz PRE</c:v>
                  </c:pt>
                  <c:pt idx="12">
                    <c:v>8 oz PRE</c:v>
                  </c:pt>
                  <c:pt idx="13">
                    <c:v>8 oz POST</c:v>
                  </c:pt>
                </c:lvl>
                <c:lvl>
                  <c:pt idx="0">
                    <c:v>Pratt Co.</c:v>
                  </c:pt>
                  <c:pt idx="5">
                    <c:v>Greeley Co.</c:v>
                  </c:pt>
                  <c:pt idx="10">
                    <c:v>Gray Co. </c:v>
                  </c:pt>
                </c:lvl>
              </c:multiLvlStrCache>
            </c:multiLvlStrRef>
          </c:cat>
          <c:val>
            <c:numRef>
              <c:f>Sheet1!$C$2:$C$15</c:f>
              <c:numCache>
                <c:formatCode>General</c:formatCode>
                <c:ptCount val="14"/>
                <c:pt idx="0">
                  <c:v>26</c:v>
                </c:pt>
                <c:pt idx="1">
                  <c:v>1.3</c:v>
                </c:pt>
                <c:pt idx="2">
                  <c:v>0.2</c:v>
                </c:pt>
                <c:pt idx="3">
                  <c:v>26</c:v>
                </c:pt>
                <c:pt idx="5">
                  <c:v>30</c:v>
                </c:pt>
                <c:pt idx="6">
                  <c:v>3.8</c:v>
                </c:pt>
                <c:pt idx="7">
                  <c:v>1.8</c:v>
                </c:pt>
                <c:pt idx="8">
                  <c:v>31</c:v>
                </c:pt>
                <c:pt idx="10">
                  <c:v>29</c:v>
                </c:pt>
                <c:pt idx="11">
                  <c:v>4.7</c:v>
                </c:pt>
                <c:pt idx="12">
                  <c:v>2.6</c:v>
                </c:pt>
                <c:pt idx="1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46-44DE-A816-3DF350AAEB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4767232"/>
        <c:axId val="204328896"/>
      </c:barChart>
      <c:catAx>
        <c:axId val="20476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328896"/>
        <c:crosses val="autoZero"/>
        <c:auto val="1"/>
        <c:lblAlgn val="ctr"/>
        <c:lblOffset val="100"/>
        <c:noMultiLvlLbl val="0"/>
      </c:catAx>
      <c:valAx>
        <c:axId val="204328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7672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00">
              <a:noFill/>
            </a:ln>
          </c:spPr>
          <c:invertIfNegative val="0"/>
          <c:cat>
            <c:multiLvlStrRef>
              <c:f>Sheet1!$A$18:$B$31</c:f>
              <c:multiLvlStrCache>
                <c:ptCount val="14"/>
                <c:lvl>
                  <c:pt idx="0">
                    <c:v>Untreated</c:v>
                  </c:pt>
                  <c:pt idx="1">
                    <c:v>6 oz PRE</c:v>
                  </c:pt>
                  <c:pt idx="2">
                    <c:v>8 oz PRE</c:v>
                  </c:pt>
                  <c:pt idx="3">
                    <c:v>8 oz POST</c:v>
                  </c:pt>
                  <c:pt idx="5">
                    <c:v>Untreated</c:v>
                  </c:pt>
                  <c:pt idx="6">
                    <c:v>6 oz PRE</c:v>
                  </c:pt>
                  <c:pt idx="7">
                    <c:v>8 oz PRE</c:v>
                  </c:pt>
                  <c:pt idx="8">
                    <c:v>8 oz POST</c:v>
                  </c:pt>
                  <c:pt idx="10">
                    <c:v>Untreated</c:v>
                  </c:pt>
                  <c:pt idx="11">
                    <c:v>6 oz PRE</c:v>
                  </c:pt>
                  <c:pt idx="12">
                    <c:v>8 oz PRE</c:v>
                  </c:pt>
                  <c:pt idx="13">
                    <c:v>8 oz POST</c:v>
                  </c:pt>
                </c:lvl>
                <c:lvl>
                  <c:pt idx="0">
                    <c:v>Pratt Co.</c:v>
                  </c:pt>
                  <c:pt idx="5">
                    <c:v>Greeley Co.</c:v>
                  </c:pt>
                  <c:pt idx="10">
                    <c:v>Gray Co. </c:v>
                  </c:pt>
                </c:lvl>
              </c:multiLvlStrCache>
            </c:multiLvlStrRef>
          </c:cat>
          <c:val>
            <c:numRef>
              <c:f>Sheet1!$C$18:$C$31</c:f>
              <c:numCache>
                <c:formatCode>General</c:formatCode>
                <c:ptCount val="14"/>
                <c:pt idx="0">
                  <c:v>12.26</c:v>
                </c:pt>
                <c:pt idx="1">
                  <c:v>0.14000000000000001</c:v>
                </c:pt>
                <c:pt idx="2">
                  <c:v>0.19</c:v>
                </c:pt>
                <c:pt idx="3">
                  <c:v>7.45</c:v>
                </c:pt>
                <c:pt idx="5">
                  <c:v>13.62</c:v>
                </c:pt>
                <c:pt idx="6">
                  <c:v>4.37</c:v>
                </c:pt>
                <c:pt idx="7">
                  <c:v>1.39</c:v>
                </c:pt>
                <c:pt idx="8">
                  <c:v>11.65</c:v>
                </c:pt>
                <c:pt idx="10">
                  <c:v>11.92</c:v>
                </c:pt>
                <c:pt idx="11">
                  <c:v>4.82</c:v>
                </c:pt>
                <c:pt idx="12">
                  <c:v>2.2400000000000002</c:v>
                </c:pt>
                <c:pt idx="13">
                  <c:v>11.1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17-4C6F-8687-4DCAEB3D8E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6803072"/>
        <c:axId val="93828160"/>
      </c:barChart>
      <c:catAx>
        <c:axId val="19680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828160"/>
        <c:crosses val="autoZero"/>
        <c:auto val="1"/>
        <c:lblAlgn val="ctr"/>
        <c:lblOffset val="100"/>
        <c:noMultiLvlLbl val="0"/>
      </c:catAx>
      <c:valAx>
        <c:axId val="9382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8030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9686B-B4E3-489B-8462-AA5D12FC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3825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GRAIN SORGHUM COMMISSION QUARTERLY REPORT OF PROGRESS</vt:lpstr>
    </vt:vector>
  </TitlesOfParts>
  <Company>Dell Computer Corporation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GRAIN SORGHUM COMMISSION QUARTERLY REPORT OF PROGRESS</dc:title>
  <dc:creator>Preferred Customer</dc:creator>
  <cp:lastModifiedBy>Sue Heath</cp:lastModifiedBy>
  <cp:revision>2</cp:revision>
  <cp:lastPrinted>2015-03-23T15:21:00Z</cp:lastPrinted>
  <dcterms:created xsi:type="dcterms:W3CDTF">2017-04-24T18:17:00Z</dcterms:created>
  <dcterms:modified xsi:type="dcterms:W3CDTF">2017-04-24T18:17:00Z</dcterms:modified>
</cp:coreProperties>
</file>